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both"/>
        <w:rPr>
          <w:rFonts w:hint="eastAsia" w:ascii="仿宋_GB2312" w:hAnsi="仿宋_GB2312" w:eastAsia="仿宋_GB2312" w:cs="仿宋_GB2312"/>
          <w:b/>
          <w:bCs/>
          <w:color w:val="auto"/>
          <w:spacing w:val="20"/>
          <w:sz w:val="52"/>
          <w:lang w:val="en-US" w:eastAsia="zh-CN"/>
        </w:rPr>
      </w:pPr>
    </w:p>
    <w:p>
      <w:pPr>
        <w:snapToGrid w:val="0"/>
        <w:spacing w:line="360" w:lineRule="auto"/>
        <w:jc w:val="center"/>
        <w:rPr>
          <w:rFonts w:hint="eastAsia" w:ascii="仿宋_GB2312" w:hAnsi="仿宋_GB2312" w:eastAsia="仿宋_GB2312" w:cs="仿宋_GB2312"/>
          <w:b/>
          <w:bCs/>
          <w:color w:val="auto"/>
          <w:spacing w:val="20"/>
          <w:sz w:val="52"/>
          <w:lang w:val="en-US" w:eastAsia="zh-CN"/>
        </w:rPr>
      </w:pPr>
    </w:p>
    <w:p>
      <w:pPr>
        <w:snapToGrid w:val="0"/>
        <w:spacing w:line="360" w:lineRule="auto"/>
        <w:jc w:val="center"/>
        <w:rPr>
          <w:rFonts w:hint="eastAsia" w:ascii="仿宋_GB2312" w:hAnsi="仿宋_GB2312" w:eastAsia="仿宋_GB2312" w:cs="仿宋_GB2312"/>
          <w:b/>
          <w:bCs/>
          <w:color w:val="auto"/>
          <w:spacing w:val="20"/>
          <w:sz w:val="52"/>
          <w:lang w:eastAsia="zh-CN"/>
        </w:rPr>
      </w:pPr>
      <w:r>
        <w:rPr>
          <w:rFonts w:hint="eastAsia" w:ascii="仿宋_GB2312" w:hAnsi="仿宋_GB2312" w:eastAsia="仿宋_GB2312" w:cs="仿宋_GB2312"/>
          <w:b/>
          <w:bCs/>
          <w:color w:val="auto"/>
          <w:spacing w:val="20"/>
          <w:sz w:val="52"/>
          <w:lang w:eastAsia="zh-CN"/>
        </w:rPr>
        <w:t>年产30万立方预拌砂浆、商品混凝土、15万立方PC预制构件项目</w:t>
      </w:r>
    </w:p>
    <w:p>
      <w:pPr>
        <w:snapToGrid w:val="0"/>
        <w:spacing w:line="360" w:lineRule="auto"/>
        <w:jc w:val="center"/>
        <w:rPr>
          <w:rFonts w:hint="eastAsia" w:ascii="仿宋_GB2312" w:hAnsi="仿宋_GB2312" w:eastAsia="仿宋_GB2312" w:cs="仿宋_GB2312"/>
          <w:b/>
          <w:bCs/>
          <w:color w:val="auto"/>
          <w:spacing w:val="20"/>
          <w:sz w:val="52"/>
          <w:lang w:eastAsia="zh-CN"/>
        </w:rPr>
      </w:pPr>
      <w:r>
        <w:rPr>
          <w:rFonts w:hint="eastAsia" w:ascii="仿宋_GB2312" w:hAnsi="仿宋_GB2312" w:eastAsia="仿宋_GB2312" w:cs="仿宋_GB2312"/>
          <w:b/>
          <w:bCs/>
          <w:color w:val="auto"/>
          <w:spacing w:val="20"/>
          <w:sz w:val="52"/>
        </w:rPr>
        <w:t>竣工环境保护验收监测报告</w:t>
      </w:r>
      <w:r>
        <w:rPr>
          <w:rFonts w:hint="eastAsia" w:ascii="仿宋_GB2312" w:hAnsi="仿宋_GB2312" w:eastAsia="仿宋_GB2312" w:cs="仿宋_GB2312"/>
          <w:b/>
          <w:bCs/>
          <w:color w:val="auto"/>
          <w:spacing w:val="20"/>
          <w:sz w:val="52"/>
          <w:lang w:eastAsia="zh-CN"/>
        </w:rPr>
        <w:t>表</w:t>
      </w:r>
    </w:p>
    <w:p>
      <w:pPr>
        <w:pStyle w:val="2"/>
        <w:jc w:val="center"/>
        <w:rPr>
          <w:rFonts w:hint="eastAsia"/>
          <w:lang w:eastAsia="zh-CN"/>
        </w:rPr>
      </w:pPr>
      <w:r>
        <w:rPr>
          <w:rFonts w:hint="eastAsia" w:ascii="仿宋_GB2312" w:hAnsi="仿宋_GB2312" w:eastAsia="仿宋_GB2312" w:cs="仿宋_GB2312"/>
          <w:b/>
          <w:bCs/>
          <w:color w:val="auto"/>
          <w:spacing w:val="20"/>
          <w:sz w:val="52"/>
          <w:lang w:eastAsia="zh-CN"/>
        </w:rPr>
        <w:t>（阶段性）</w:t>
      </w:r>
    </w:p>
    <w:p>
      <w:pPr>
        <w:snapToGrid w:val="0"/>
        <w:spacing w:line="360" w:lineRule="auto"/>
        <w:rPr>
          <w:rFonts w:eastAsia="楷体_GB2312"/>
          <w:color w:val="auto"/>
          <w:sz w:val="28"/>
        </w:rPr>
      </w:pPr>
    </w:p>
    <w:p>
      <w:pPr>
        <w:pStyle w:val="2"/>
      </w:pPr>
    </w:p>
    <w:p>
      <w:pPr>
        <w:spacing w:line="360" w:lineRule="auto"/>
        <w:rPr>
          <w:rFonts w:hint="eastAsia" w:ascii="黑体" w:hAnsi="黑体" w:eastAsia="黑体" w:cs="黑体"/>
          <w:b/>
          <w:color w:val="auto"/>
          <w:sz w:val="32"/>
          <w:szCs w:val="32"/>
          <w:lang w:val="en-US" w:eastAsia="zh-CN"/>
        </w:rPr>
      </w:pPr>
    </w:p>
    <w:p>
      <w:pPr>
        <w:spacing w:line="360" w:lineRule="auto"/>
        <w:rPr>
          <w:rFonts w:hint="eastAsia" w:ascii="黑体" w:hAnsi="黑体" w:eastAsia="黑体" w:cs="黑体"/>
          <w:b/>
          <w:color w:val="auto"/>
          <w:sz w:val="32"/>
          <w:szCs w:val="32"/>
          <w:lang w:val="en-US" w:eastAsia="zh-CN"/>
        </w:rPr>
      </w:pPr>
    </w:p>
    <w:p>
      <w:pPr>
        <w:pStyle w:val="2"/>
        <w:rPr>
          <w:rFonts w:hint="eastAsia"/>
        </w:rPr>
      </w:pPr>
    </w:p>
    <w:p>
      <w:pPr>
        <w:pStyle w:val="2"/>
        <w:rPr>
          <w:rFonts w:hint="eastAsia"/>
        </w:rPr>
      </w:pPr>
    </w:p>
    <w:p>
      <w:pPr>
        <w:keepNext w:val="0"/>
        <w:keepLines w:val="0"/>
        <w:pageBreakBefore w:val="0"/>
        <w:widowControl w:val="0"/>
        <w:kinsoku/>
        <w:wordWrap/>
        <w:overflowPunct/>
        <w:topLinePunct w:val="0"/>
        <w:autoSpaceDE/>
        <w:autoSpaceDN/>
        <w:bidi w:val="0"/>
        <w:adjustRightInd/>
        <w:snapToGrid/>
        <w:spacing w:line="360" w:lineRule="auto"/>
        <w:ind w:left="798" w:leftChars="380" w:firstLine="0" w:firstLineChars="0"/>
        <w:jc w:val="center"/>
        <w:textAlignment w:val="auto"/>
        <w:rPr>
          <w:rFonts w:hint="eastAsia" w:ascii="黑体" w:hAnsi="黑体" w:eastAsia="黑体" w:cs="黑体"/>
          <w:b/>
          <w:color w:val="auto"/>
          <w:sz w:val="32"/>
          <w:szCs w:val="32"/>
        </w:rPr>
      </w:pPr>
    </w:p>
    <w:p>
      <w:pPr>
        <w:keepNext w:val="0"/>
        <w:keepLines w:val="0"/>
        <w:pageBreakBefore w:val="0"/>
        <w:widowControl w:val="0"/>
        <w:kinsoku/>
        <w:wordWrap/>
        <w:overflowPunct/>
        <w:topLinePunct w:val="0"/>
        <w:autoSpaceDE/>
        <w:autoSpaceDN/>
        <w:bidi w:val="0"/>
        <w:adjustRightInd/>
        <w:snapToGrid/>
        <w:spacing w:line="360" w:lineRule="auto"/>
        <w:ind w:left="798" w:leftChars="380" w:firstLine="0" w:firstLineChars="0"/>
        <w:jc w:val="center"/>
        <w:textAlignment w:val="auto"/>
        <w:rPr>
          <w:rFonts w:hint="eastAsia" w:ascii="黑体" w:hAnsi="黑体" w:eastAsia="黑体" w:cs="黑体"/>
          <w:b/>
          <w:color w:val="auto"/>
          <w:sz w:val="32"/>
          <w:szCs w:val="32"/>
        </w:rPr>
      </w:pPr>
    </w:p>
    <w:p>
      <w:pPr>
        <w:keepNext w:val="0"/>
        <w:keepLines w:val="0"/>
        <w:pageBreakBefore w:val="0"/>
        <w:widowControl w:val="0"/>
        <w:kinsoku/>
        <w:wordWrap/>
        <w:overflowPunct/>
        <w:topLinePunct w:val="0"/>
        <w:autoSpaceDE/>
        <w:autoSpaceDN/>
        <w:bidi w:val="0"/>
        <w:adjustRightInd/>
        <w:snapToGrid/>
        <w:spacing w:line="360" w:lineRule="auto"/>
        <w:ind w:left="798" w:leftChars="380" w:firstLine="0" w:firstLineChars="0"/>
        <w:jc w:val="center"/>
        <w:textAlignment w:val="auto"/>
        <w:rPr>
          <w:rFonts w:hint="eastAsia" w:ascii="黑体" w:hAnsi="黑体" w:eastAsia="黑体" w:cs="黑体"/>
          <w:b/>
          <w:color w:val="auto"/>
          <w:sz w:val="32"/>
          <w:szCs w:val="32"/>
        </w:rPr>
      </w:pPr>
    </w:p>
    <w:p>
      <w:pPr>
        <w:keepNext w:val="0"/>
        <w:keepLines w:val="0"/>
        <w:pageBreakBefore w:val="0"/>
        <w:widowControl w:val="0"/>
        <w:kinsoku/>
        <w:wordWrap/>
        <w:overflowPunct/>
        <w:topLinePunct w:val="0"/>
        <w:autoSpaceDE/>
        <w:autoSpaceDN/>
        <w:bidi w:val="0"/>
        <w:adjustRightInd/>
        <w:snapToGrid/>
        <w:spacing w:line="360" w:lineRule="auto"/>
        <w:ind w:left="798" w:leftChars="380" w:firstLine="0" w:firstLineChars="0"/>
        <w:jc w:val="center"/>
        <w:textAlignment w:val="auto"/>
        <w:rPr>
          <w:rFonts w:hint="eastAsia" w:ascii="黑体" w:hAnsi="黑体" w:eastAsia="黑体" w:cs="黑体"/>
          <w:b/>
          <w:color w:val="auto"/>
          <w:sz w:val="32"/>
          <w:szCs w:val="32"/>
        </w:rPr>
      </w:pPr>
    </w:p>
    <w:p>
      <w:pPr>
        <w:keepNext w:val="0"/>
        <w:keepLines w:val="0"/>
        <w:pageBreakBefore w:val="0"/>
        <w:widowControl w:val="0"/>
        <w:kinsoku/>
        <w:wordWrap/>
        <w:overflowPunct/>
        <w:topLinePunct w:val="0"/>
        <w:autoSpaceDE/>
        <w:autoSpaceDN/>
        <w:bidi w:val="0"/>
        <w:adjustRightInd/>
        <w:snapToGrid/>
        <w:spacing w:line="360" w:lineRule="auto"/>
        <w:ind w:left="798" w:leftChars="380" w:firstLine="0" w:firstLineChars="0"/>
        <w:jc w:val="center"/>
        <w:textAlignment w:val="auto"/>
        <w:rPr>
          <w:rFonts w:hint="eastAsia" w:ascii="黑体" w:hAnsi="黑体" w:eastAsia="黑体" w:cs="黑体"/>
          <w:b/>
          <w:color w:val="auto"/>
          <w:sz w:val="32"/>
          <w:szCs w:val="32"/>
        </w:rPr>
      </w:pPr>
    </w:p>
    <w:p>
      <w:pPr>
        <w:keepNext w:val="0"/>
        <w:keepLines w:val="0"/>
        <w:pageBreakBefore w:val="0"/>
        <w:widowControl w:val="0"/>
        <w:kinsoku/>
        <w:wordWrap/>
        <w:overflowPunct/>
        <w:topLinePunct w:val="0"/>
        <w:autoSpaceDE/>
        <w:autoSpaceDN/>
        <w:bidi w:val="0"/>
        <w:adjustRightInd/>
        <w:snapToGrid/>
        <w:spacing w:line="360" w:lineRule="auto"/>
        <w:ind w:left="798" w:leftChars="380" w:firstLine="0" w:firstLineChars="0"/>
        <w:jc w:val="center"/>
        <w:textAlignment w:val="auto"/>
        <w:rPr>
          <w:rFonts w:hint="eastAsia" w:ascii="黑体" w:hAnsi="黑体" w:eastAsia="黑体" w:cs="黑体"/>
          <w:color w:val="auto"/>
          <w:sz w:val="32"/>
          <w:szCs w:val="32"/>
          <w:u w:val="single"/>
        </w:rPr>
      </w:pPr>
      <w:r>
        <w:rPr>
          <w:rFonts w:hint="eastAsia" w:ascii="黑体" w:hAnsi="黑体" w:eastAsia="黑体" w:cs="黑体"/>
          <w:b/>
          <w:color w:val="auto"/>
          <w:sz w:val="32"/>
          <w:szCs w:val="32"/>
        </w:rPr>
        <w:t>建设单位：</w:t>
      </w:r>
      <w:r>
        <w:rPr>
          <w:rFonts w:hint="eastAsia" w:ascii="黑体" w:hAnsi="黑体" w:eastAsia="黑体" w:cs="黑体"/>
          <w:b w:val="0"/>
          <w:bCs/>
          <w:color w:val="auto"/>
          <w:sz w:val="32"/>
          <w:szCs w:val="32"/>
          <w:u w:val="single"/>
        </w:rPr>
        <w:t xml:space="preserve"> </w:t>
      </w:r>
      <w:r>
        <w:rPr>
          <w:rFonts w:hint="eastAsia" w:ascii="黑体" w:hAnsi="黑体" w:eastAsia="黑体" w:cs="黑体"/>
          <w:color w:val="auto"/>
          <w:sz w:val="32"/>
          <w:szCs w:val="32"/>
          <w:u w:val="single"/>
          <w:lang w:val="en-US" w:eastAsia="zh-CN"/>
        </w:rPr>
        <w:t xml:space="preserve">明光市沪光建筑材料有限公司 </w:t>
      </w:r>
    </w:p>
    <w:p>
      <w:pPr>
        <w:spacing w:line="360" w:lineRule="auto"/>
        <w:ind w:left="3053" w:leftChars="380" w:hanging="2255" w:hangingChars="702"/>
        <w:rPr>
          <w:rFonts w:hint="eastAsia" w:ascii="黑体" w:hAnsi="黑体" w:eastAsia="黑体" w:cs="黑体"/>
          <w:b/>
          <w:color w:val="auto"/>
          <w:sz w:val="32"/>
          <w:szCs w:val="32"/>
        </w:rPr>
      </w:pPr>
    </w:p>
    <w:p>
      <w:pPr>
        <w:jc w:val="center"/>
        <w:rPr>
          <w:rFonts w:hint="eastAsia" w:ascii="仿宋_GB2312" w:hAnsi="仿宋_GB2312" w:eastAsia="仿宋_GB2312" w:cs="仿宋_GB2312"/>
          <w:color w:val="auto"/>
          <w:sz w:val="28"/>
        </w:rPr>
      </w:pPr>
      <w:r>
        <w:rPr>
          <w:rFonts w:hint="eastAsia" w:ascii="仿宋_GB2312" w:hAnsi="仿宋_GB2312" w:eastAsia="仿宋_GB2312" w:cs="仿宋_GB2312"/>
          <w:b/>
          <w:color w:val="auto"/>
          <w:sz w:val="32"/>
          <w:szCs w:val="20"/>
        </w:rPr>
        <w:t>二〇</w:t>
      </w:r>
      <w:r>
        <w:rPr>
          <w:rFonts w:hint="eastAsia" w:ascii="仿宋_GB2312" w:hAnsi="仿宋_GB2312" w:eastAsia="仿宋_GB2312" w:cs="仿宋_GB2312"/>
          <w:b/>
          <w:color w:val="auto"/>
          <w:sz w:val="32"/>
          <w:szCs w:val="20"/>
          <w:lang w:eastAsia="zh-CN"/>
        </w:rPr>
        <w:t>二一</w:t>
      </w:r>
      <w:r>
        <w:rPr>
          <w:rFonts w:hint="eastAsia" w:ascii="仿宋_GB2312" w:hAnsi="仿宋_GB2312" w:eastAsia="仿宋_GB2312" w:cs="仿宋_GB2312"/>
          <w:b/>
          <w:color w:val="auto"/>
          <w:sz w:val="32"/>
          <w:szCs w:val="20"/>
        </w:rPr>
        <w:t>年</w:t>
      </w:r>
      <w:r>
        <w:rPr>
          <w:rFonts w:hint="eastAsia" w:ascii="仿宋_GB2312" w:hAnsi="仿宋_GB2312" w:eastAsia="仿宋_GB2312" w:cs="仿宋_GB2312"/>
          <w:b/>
          <w:color w:val="auto"/>
          <w:sz w:val="32"/>
          <w:szCs w:val="20"/>
          <w:lang w:val="en-US" w:eastAsia="zh-CN"/>
        </w:rPr>
        <w:t>六</w:t>
      </w:r>
      <w:r>
        <w:rPr>
          <w:rFonts w:hint="eastAsia" w:ascii="仿宋_GB2312" w:hAnsi="仿宋_GB2312" w:eastAsia="仿宋_GB2312" w:cs="仿宋_GB2312"/>
          <w:b/>
          <w:color w:val="auto"/>
          <w:sz w:val="32"/>
          <w:szCs w:val="20"/>
        </w:rPr>
        <w:t>月</w:t>
      </w:r>
    </w:p>
    <w:p>
      <w:pPr>
        <w:snapToGrid w:val="0"/>
        <w:spacing w:line="360" w:lineRule="auto"/>
        <w:rPr>
          <w:b/>
          <w:bCs/>
          <w:color w:val="auto"/>
          <w:spacing w:val="40"/>
          <w:sz w:val="32"/>
          <w:szCs w:val="32"/>
        </w:rPr>
        <w:sectPr>
          <w:headerReference r:id="rId5" w:type="first"/>
          <w:headerReference r:id="rId3" w:type="default"/>
          <w:headerReference r:id="rId4" w:type="even"/>
          <w:footerReference r:id="rId6" w:type="even"/>
          <w:pgSz w:w="11906" w:h="16838"/>
          <w:pgMar w:top="1304" w:right="1304" w:bottom="1474" w:left="1304" w:header="851" w:footer="0" w:gutter="0"/>
          <w:pgBorders>
            <w:top w:val="none" w:sz="0" w:space="0"/>
            <w:left w:val="none" w:sz="0" w:space="0"/>
            <w:bottom w:val="none" w:sz="0" w:space="0"/>
            <w:right w:val="none" w:sz="0" w:space="0"/>
          </w:pgBorders>
          <w:cols w:space="720" w:num="1"/>
          <w:titlePg/>
          <w:docGrid w:type="lines" w:linePitch="312" w:charSpace="0"/>
        </w:sectPr>
      </w:pPr>
    </w:p>
    <w:p>
      <w:pPr>
        <w:jc w:val="left"/>
        <w:rPr>
          <w:rFonts w:hint="eastAsia" w:ascii="仿宋_GB2312" w:hAnsi="仿宋_GB2312" w:eastAsia="仿宋_GB2312" w:cs="仿宋_GB2312"/>
          <w:b/>
          <w:color w:val="auto"/>
          <w:sz w:val="28"/>
          <w:szCs w:val="20"/>
        </w:rPr>
      </w:pPr>
    </w:p>
    <w:p>
      <w:pPr>
        <w:jc w:val="left"/>
        <w:rPr>
          <w:rFonts w:hint="eastAsia" w:ascii="仿宋_GB2312" w:hAnsi="仿宋_GB2312" w:eastAsia="仿宋_GB2312" w:cs="仿宋_GB2312"/>
          <w:b/>
          <w:color w:val="auto"/>
          <w:sz w:val="28"/>
          <w:szCs w:val="20"/>
        </w:rPr>
      </w:pPr>
    </w:p>
    <w:p>
      <w:pPr>
        <w:jc w:val="left"/>
        <w:rPr>
          <w:rFonts w:hint="eastAsia" w:ascii="仿宋_GB2312" w:hAnsi="仿宋_GB2312" w:eastAsia="仿宋_GB2312" w:cs="仿宋_GB2312"/>
          <w:b w:val="0"/>
          <w:bCs/>
          <w:color w:val="auto"/>
          <w:sz w:val="28"/>
          <w:szCs w:val="20"/>
        </w:rPr>
      </w:pPr>
      <w:r>
        <w:rPr>
          <w:rFonts w:hint="eastAsia" w:ascii="仿宋_GB2312" w:hAnsi="仿宋_GB2312" w:eastAsia="仿宋_GB2312" w:cs="仿宋_GB2312"/>
          <w:b/>
          <w:color w:val="auto"/>
          <w:sz w:val="28"/>
          <w:szCs w:val="20"/>
        </w:rPr>
        <w:t>建  设  单  位：</w:t>
      </w:r>
      <w:r>
        <w:rPr>
          <w:rFonts w:hint="eastAsia" w:ascii="仿宋_GB2312" w:hAnsi="仿宋_GB2312" w:eastAsia="仿宋_GB2312" w:cs="仿宋_GB2312"/>
          <w:b w:val="0"/>
          <w:bCs/>
          <w:color w:val="auto"/>
          <w:sz w:val="28"/>
          <w:szCs w:val="20"/>
          <w:lang w:eastAsia="zh-CN"/>
        </w:rPr>
        <w:t xml:space="preserve">明光市沪光建筑材料有限公司 </w:t>
      </w:r>
    </w:p>
    <w:p>
      <w:pPr>
        <w:jc w:val="left"/>
        <w:rPr>
          <w:rFonts w:ascii="微软雅黑" w:hAnsi="微软雅黑" w:eastAsia="微软雅黑" w:cs="微软雅黑"/>
          <w:i w:val="0"/>
          <w:caps w:val="0"/>
          <w:color w:val="auto"/>
          <w:spacing w:val="0"/>
          <w:kern w:val="0"/>
          <w:sz w:val="30"/>
          <w:szCs w:val="30"/>
          <w:u w:val="none"/>
          <w:shd w:val="clear" w:color="auto" w:fill="FFFFFF"/>
          <w:lang w:val="en-US" w:eastAsia="zh-CN" w:bidi="ar"/>
        </w:rPr>
      </w:pPr>
      <w:r>
        <w:rPr>
          <w:rFonts w:hint="eastAsia" w:ascii="仿宋_GB2312" w:hAnsi="仿宋_GB2312" w:eastAsia="仿宋_GB2312" w:cs="仿宋_GB2312"/>
          <w:b/>
          <w:color w:val="auto"/>
          <w:sz w:val="28"/>
          <w:szCs w:val="20"/>
        </w:rPr>
        <w:t>法 定 代 表 人：</w:t>
      </w:r>
      <w:r>
        <w:rPr>
          <w:rFonts w:hint="eastAsia" w:ascii="仿宋_GB2312" w:hAnsi="仿宋_GB2312" w:eastAsia="仿宋_GB2312" w:cs="仿宋_GB2312"/>
          <w:b w:val="0"/>
          <w:bCs/>
          <w:color w:val="auto"/>
          <w:sz w:val="28"/>
          <w:szCs w:val="20"/>
          <w:lang w:val="en-US" w:eastAsia="zh-CN"/>
        </w:rPr>
        <w:t>尹协武</w:t>
      </w:r>
      <w:r>
        <w:rPr>
          <w:rFonts w:ascii="微软雅黑" w:hAnsi="微软雅黑" w:eastAsia="微软雅黑" w:cs="微软雅黑"/>
          <w:i w:val="0"/>
          <w:caps w:val="0"/>
          <w:color w:val="auto"/>
          <w:spacing w:val="0"/>
          <w:kern w:val="0"/>
          <w:sz w:val="30"/>
          <w:szCs w:val="30"/>
          <w:u w:val="none"/>
          <w:shd w:val="clear" w:color="auto" w:fill="FFFFFF"/>
          <w:lang w:val="en-US" w:eastAsia="zh-CN" w:bidi="ar"/>
        </w:rPr>
        <w:fldChar w:fldCharType="begin"/>
      </w:r>
      <w:r>
        <w:rPr>
          <w:rFonts w:ascii="微软雅黑" w:hAnsi="微软雅黑" w:eastAsia="微软雅黑" w:cs="微软雅黑"/>
          <w:i w:val="0"/>
          <w:caps w:val="0"/>
          <w:color w:val="auto"/>
          <w:spacing w:val="0"/>
          <w:kern w:val="0"/>
          <w:sz w:val="30"/>
          <w:szCs w:val="30"/>
          <w:u w:val="none"/>
          <w:shd w:val="clear" w:color="auto" w:fill="FFFFFF"/>
          <w:lang w:val="en-US" w:eastAsia="zh-CN" w:bidi="ar"/>
        </w:rPr>
        <w:instrText xml:space="preserve"> HYPERLINK "https://www.qichacha.com/pl_p5c514a2f247b7d2019bfc96eaf2179a.html" </w:instrText>
      </w:r>
      <w:r>
        <w:rPr>
          <w:rFonts w:ascii="微软雅黑" w:hAnsi="微软雅黑" w:eastAsia="微软雅黑" w:cs="微软雅黑"/>
          <w:i w:val="0"/>
          <w:caps w:val="0"/>
          <w:color w:val="auto"/>
          <w:spacing w:val="0"/>
          <w:kern w:val="0"/>
          <w:sz w:val="30"/>
          <w:szCs w:val="30"/>
          <w:u w:val="none"/>
          <w:shd w:val="clear" w:color="auto" w:fill="FFFFFF"/>
          <w:lang w:val="en-US" w:eastAsia="zh-CN" w:bidi="ar"/>
        </w:rPr>
        <w:fldChar w:fldCharType="separate"/>
      </w:r>
    </w:p>
    <w:p>
      <w:pPr>
        <w:jc w:val="left"/>
        <w:rPr>
          <w:rFonts w:ascii="微软雅黑" w:hAnsi="微软雅黑" w:eastAsia="微软雅黑" w:cs="微软雅黑"/>
          <w:i w:val="0"/>
          <w:caps w:val="0"/>
          <w:color w:val="auto"/>
          <w:spacing w:val="0"/>
          <w:kern w:val="0"/>
          <w:sz w:val="30"/>
          <w:szCs w:val="30"/>
          <w:u w:val="none"/>
          <w:shd w:val="clear" w:color="auto" w:fill="FFFFFF"/>
          <w:lang w:val="en-US" w:eastAsia="zh-CN" w:bidi="ar"/>
        </w:rPr>
      </w:pPr>
    </w:p>
    <w:p>
      <w:pPr>
        <w:pStyle w:val="2"/>
        <w:rPr>
          <w:rFonts w:ascii="微软雅黑" w:hAnsi="微软雅黑" w:eastAsia="微软雅黑" w:cs="微软雅黑"/>
          <w:i w:val="0"/>
          <w:caps w:val="0"/>
          <w:color w:val="auto"/>
          <w:spacing w:val="0"/>
          <w:kern w:val="0"/>
          <w:sz w:val="30"/>
          <w:szCs w:val="30"/>
          <w:u w:val="none"/>
          <w:shd w:val="clear" w:color="auto" w:fill="FFFFFF"/>
          <w:lang w:val="en-US" w:eastAsia="zh-CN" w:bidi="ar"/>
        </w:rPr>
      </w:pPr>
    </w:p>
    <w:p>
      <w:pPr>
        <w:rPr>
          <w:rFonts w:ascii="微软雅黑" w:hAnsi="微软雅黑" w:eastAsia="微软雅黑" w:cs="微软雅黑"/>
          <w:i w:val="0"/>
          <w:caps w:val="0"/>
          <w:color w:val="auto"/>
          <w:spacing w:val="0"/>
          <w:kern w:val="0"/>
          <w:sz w:val="30"/>
          <w:szCs w:val="30"/>
          <w:u w:val="none"/>
          <w:shd w:val="clear" w:color="auto" w:fill="FFFFFF"/>
          <w:lang w:val="en-US" w:eastAsia="zh-CN" w:bidi="ar"/>
        </w:rPr>
      </w:pPr>
    </w:p>
    <w:p>
      <w:pPr>
        <w:pStyle w:val="2"/>
        <w:rPr>
          <w:lang w:val="en-US" w:eastAsia="zh-CN"/>
        </w:rPr>
      </w:pPr>
    </w:p>
    <w:p>
      <w:pPr>
        <w:jc w:val="left"/>
        <w:rPr>
          <w:rFonts w:hint="eastAsia" w:ascii="仿宋_GB2312" w:hAnsi="仿宋_GB2312" w:eastAsia="仿宋_GB2312" w:cs="仿宋_GB2312"/>
          <w:b/>
          <w:color w:val="auto"/>
          <w:sz w:val="28"/>
          <w:szCs w:val="20"/>
        </w:rPr>
      </w:pPr>
      <w:r>
        <w:rPr>
          <w:rFonts w:hint="eastAsia" w:ascii="微软雅黑" w:hAnsi="微软雅黑" w:eastAsia="微软雅黑" w:cs="微软雅黑"/>
          <w:i w:val="0"/>
          <w:caps w:val="0"/>
          <w:color w:val="auto"/>
          <w:spacing w:val="0"/>
          <w:kern w:val="0"/>
          <w:sz w:val="30"/>
          <w:szCs w:val="30"/>
          <w:u w:val="none"/>
          <w:shd w:val="clear" w:color="auto" w:fill="FFFFFF"/>
          <w:lang w:val="en-US" w:eastAsia="zh-CN" w:bidi="ar"/>
        </w:rPr>
        <w:fldChar w:fldCharType="end"/>
      </w:r>
      <w:r>
        <w:rPr>
          <w:rFonts w:hint="eastAsia" w:ascii="仿宋_GB2312" w:hAnsi="仿宋_GB2312" w:eastAsia="仿宋_GB2312" w:cs="仿宋_GB2312"/>
          <w:b w:val="0"/>
          <w:bCs/>
          <w:color w:val="auto"/>
          <w:sz w:val="28"/>
          <w:szCs w:val="20"/>
          <w:lang w:eastAsia="zh-CN"/>
        </w:rPr>
        <w:t xml:space="preserve">  </w:t>
      </w:r>
    </w:p>
    <w:p>
      <w:pPr>
        <w:jc w:val="left"/>
        <w:rPr>
          <w:rFonts w:hint="eastAsia"/>
          <w:color w:val="auto"/>
          <w:sz w:val="28"/>
          <w:szCs w:val="20"/>
        </w:rPr>
      </w:pPr>
    </w:p>
    <w:p>
      <w:pPr>
        <w:snapToGrid w:val="0"/>
        <w:spacing w:line="360" w:lineRule="auto"/>
        <w:rPr>
          <w:color w:val="auto"/>
          <w:sz w:val="28"/>
        </w:rPr>
      </w:pPr>
    </w:p>
    <w:p>
      <w:pPr>
        <w:snapToGrid w:val="0"/>
        <w:spacing w:line="360" w:lineRule="auto"/>
        <w:rPr>
          <w:rFonts w:hint="eastAsia"/>
          <w:color w:val="auto"/>
          <w:sz w:val="28"/>
        </w:rPr>
      </w:pPr>
    </w:p>
    <w:p>
      <w:pPr>
        <w:snapToGrid w:val="0"/>
        <w:spacing w:line="360" w:lineRule="auto"/>
        <w:rPr>
          <w:color w:val="auto"/>
          <w:sz w:val="28"/>
        </w:rPr>
      </w:pPr>
    </w:p>
    <w:p>
      <w:pPr>
        <w:pStyle w:val="2"/>
        <w:rPr>
          <w:color w:val="auto"/>
          <w:sz w:val="28"/>
        </w:rPr>
      </w:pPr>
    </w:p>
    <w:p>
      <w:pPr>
        <w:pStyle w:val="3"/>
        <w:widowControl w:val="0"/>
        <w:numPr>
          <w:ilvl w:val="0"/>
          <w:numId w:val="0"/>
        </w:numPr>
        <w:jc w:val="both"/>
      </w:pPr>
    </w:p>
    <w:p>
      <w:pPr>
        <w:snapToGrid w:val="0"/>
        <w:spacing w:line="360" w:lineRule="auto"/>
        <w:rPr>
          <w:rFonts w:hint="eastAsia" w:eastAsia="宋体"/>
          <w:b/>
          <w:bCs/>
          <w:color w:val="auto"/>
          <w:sz w:val="32"/>
          <w:lang w:val="en-US" w:eastAsia="zh-CN"/>
        </w:rPr>
      </w:pPr>
    </w:p>
    <w:p>
      <w:pPr>
        <w:snapToGrid w:val="0"/>
        <w:spacing w:line="360" w:lineRule="auto"/>
        <w:rPr>
          <w:b/>
          <w:bCs/>
          <w:color w:val="auto"/>
          <w:sz w:val="32"/>
        </w:rPr>
      </w:pPr>
    </w:p>
    <w:p>
      <w:pPr>
        <w:snapToGrid w:val="0"/>
        <w:spacing w:line="360" w:lineRule="auto"/>
        <w:rPr>
          <w:b/>
          <w:bCs/>
          <w:color w:val="auto"/>
          <w:sz w:val="32"/>
        </w:rPr>
      </w:pPr>
      <w:r>
        <w:rPr>
          <w:bCs/>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2766060</wp:posOffset>
                </wp:positionH>
                <wp:positionV relativeFrom="paragraph">
                  <wp:posOffset>215265</wp:posOffset>
                </wp:positionV>
                <wp:extent cx="2940050" cy="2033905"/>
                <wp:effectExtent l="0" t="0" r="12700" b="4445"/>
                <wp:wrapNone/>
                <wp:docPr id="2" name="矩形 8"/>
                <wp:cNvGraphicFramePr/>
                <a:graphic xmlns:a="http://schemas.openxmlformats.org/drawingml/2006/main">
                  <a:graphicData uri="http://schemas.microsoft.com/office/word/2010/wordprocessingShape">
                    <wps:wsp>
                      <wps:cNvSpPr/>
                      <wps:spPr>
                        <a:xfrm>
                          <a:off x="0" y="0"/>
                          <a:ext cx="2940050" cy="2033905"/>
                        </a:xfrm>
                        <a:prstGeom prst="rect">
                          <a:avLst/>
                        </a:prstGeom>
                        <a:solidFill>
                          <a:srgbClr val="FFFFFF"/>
                        </a:solidFill>
                        <a:ln w="38100">
                          <a:noFill/>
                        </a:ln>
                      </wps:spPr>
                      <wps:txbx>
                        <w:txbxContent>
                          <w:p>
                            <w:pPr>
                              <w:snapToGrid w:val="0"/>
                              <w:spacing w:line="360" w:lineRule="auto"/>
                              <w:rPr>
                                <w:rFonts w:hint="eastAsia" w:ascii="仿宋_GB2312" w:hAnsi="仿宋_GB2312" w:eastAsia="仿宋_GB2312" w:cs="仿宋_GB2312"/>
                                <w:b w:val="0"/>
                                <w:bCs/>
                                <w:sz w:val="28"/>
                                <w:szCs w:val="20"/>
                                <w:lang w:eastAsia="zh-CN"/>
                              </w:rPr>
                            </w:pPr>
                            <w:r>
                              <w:rPr>
                                <w:rFonts w:hint="eastAsia" w:ascii="仿宋_GB2312" w:hAnsi="仿宋_GB2312" w:eastAsia="仿宋_GB2312" w:cs="仿宋_GB2312"/>
                                <w:b w:val="0"/>
                                <w:bCs/>
                                <w:sz w:val="28"/>
                                <w:szCs w:val="20"/>
                                <w:lang w:eastAsia="zh-CN"/>
                              </w:rPr>
                              <w:t xml:space="preserve">明光市沪光建筑材料有限公司 </w:t>
                            </w:r>
                          </w:p>
                          <w:p>
                            <w:pPr>
                              <w:snapToGrid w:val="0"/>
                              <w:spacing w:line="360" w:lineRule="auto"/>
                              <w:rPr>
                                <w:rFonts w:hint="eastAsia"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rPr>
                              <w:t>地　　址：</w:t>
                            </w:r>
                            <w:r>
                              <w:rPr>
                                <w:rFonts w:hint="eastAsia" w:ascii="仿宋_GB2312" w:hAnsi="仿宋_GB2312" w:eastAsia="仿宋_GB2312" w:cs="仿宋_GB2312"/>
                                <w:sz w:val="28"/>
                                <w:szCs w:val="28"/>
                                <w:vertAlign w:val="baseline"/>
                                <w:lang w:val="en-US" w:eastAsia="zh-CN"/>
                              </w:rPr>
                              <w:t>明光市管店镇罗岭工业集中区 104 国道东侧</w:t>
                            </w:r>
                          </w:p>
                          <w:p>
                            <w:pPr>
                              <w:snapToGrid w:val="0"/>
                              <w:spacing w:line="360" w:lineRule="auto"/>
                              <w:rPr>
                                <w:rFonts w:hint="default"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rPr>
                              <w:t>邮政编码：239</w:t>
                            </w:r>
                            <w:r>
                              <w:rPr>
                                <w:rFonts w:hint="eastAsia" w:ascii="仿宋_GB2312" w:hAnsi="仿宋_GB2312" w:eastAsia="仿宋_GB2312" w:cs="仿宋_GB2312"/>
                                <w:bCs/>
                                <w:sz w:val="28"/>
                                <w:szCs w:val="28"/>
                                <w:lang w:val="en-US" w:eastAsia="zh-CN"/>
                              </w:rPr>
                              <w:t>419</w:t>
                            </w:r>
                          </w:p>
                          <w:p>
                            <w:pPr>
                              <w:snapToGrid w:val="0"/>
                              <w:spacing w:line="360" w:lineRule="auto"/>
                              <w:rPr>
                                <w:rFonts w:hint="default"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rPr>
                              <w:t>电　　话</w:t>
                            </w:r>
                            <w:r>
                              <w:rPr>
                                <w:rFonts w:hint="eastAsia" w:ascii="仿宋_GB2312" w:hAnsi="仿宋_GB2312" w:eastAsia="仿宋_GB2312" w:cs="仿宋_GB2312"/>
                                <w:bCs/>
                                <w:color w:val="auto"/>
                                <w:sz w:val="28"/>
                                <w:szCs w:val="28"/>
                              </w:rPr>
                              <w:t>：</w:t>
                            </w:r>
                            <w:r>
                              <w:rPr>
                                <w:rFonts w:hint="eastAsia" w:ascii="仿宋_GB2312" w:hAnsi="仿宋_GB2312" w:eastAsia="仿宋_GB2312" w:cs="仿宋_GB2312"/>
                                <w:bCs/>
                                <w:color w:val="auto"/>
                                <w:sz w:val="28"/>
                                <w:szCs w:val="28"/>
                                <w:lang w:val="en-US" w:eastAsia="zh-CN"/>
                              </w:rPr>
                              <w:t>18755073700</w:t>
                            </w:r>
                          </w:p>
                          <w:p/>
                        </w:txbxContent>
                      </wps:txbx>
                      <wps:bodyPr vert="horz" wrap="square" anchor="t" upright="1"/>
                    </wps:wsp>
                  </a:graphicData>
                </a:graphic>
              </wp:anchor>
            </w:drawing>
          </mc:Choice>
          <mc:Fallback>
            <w:pict>
              <v:rect id="矩形 8" o:spid="_x0000_s1026" o:spt="1" style="position:absolute;left:0pt;margin-left:217.8pt;margin-top:16.95pt;height:160.15pt;width:231.5pt;z-index:251660288;mso-width-relative:page;mso-height-relative:page;" fillcolor="#FFFFFF" filled="t" stroked="f" coordsize="21600,21600" o:gfxdata="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wfY3fZAAAACgEAAA8AAAAAAAAA&#10;AQAgAAAAIgAAAGRycy9kb3ducmV2LnhtbFBLAQIUABQAAAAIAIdO4kBJ2rAS1wEAAJoDAAAOAAAA&#10;AAAAAAEAIAAAACgBAABkcnMvZTJvRG9jLnhtbFBLBQYAAAAABgAGAFkBAABxBQAAAAA=&#10;">
                <v:fill on="t" focussize="0,0"/>
                <v:stroke on="f" weight="3pt"/>
                <v:imagedata o:title=""/>
                <o:lock v:ext="edit" aspectratio="f"/>
                <v:textbox>
                  <w:txbxContent>
                    <w:p>
                      <w:pPr>
                        <w:snapToGrid w:val="0"/>
                        <w:spacing w:line="360" w:lineRule="auto"/>
                        <w:rPr>
                          <w:rFonts w:hint="eastAsia" w:ascii="仿宋_GB2312" w:hAnsi="仿宋_GB2312" w:eastAsia="仿宋_GB2312" w:cs="仿宋_GB2312"/>
                          <w:b w:val="0"/>
                          <w:bCs/>
                          <w:sz w:val="28"/>
                          <w:szCs w:val="20"/>
                          <w:lang w:eastAsia="zh-CN"/>
                        </w:rPr>
                      </w:pPr>
                      <w:r>
                        <w:rPr>
                          <w:rFonts w:hint="eastAsia" w:ascii="仿宋_GB2312" w:hAnsi="仿宋_GB2312" w:eastAsia="仿宋_GB2312" w:cs="仿宋_GB2312"/>
                          <w:b w:val="0"/>
                          <w:bCs/>
                          <w:sz w:val="28"/>
                          <w:szCs w:val="20"/>
                          <w:lang w:eastAsia="zh-CN"/>
                        </w:rPr>
                        <w:t xml:space="preserve">明光市沪光建筑材料有限公司 </w:t>
                      </w:r>
                    </w:p>
                    <w:p>
                      <w:pPr>
                        <w:snapToGrid w:val="0"/>
                        <w:spacing w:line="360" w:lineRule="auto"/>
                        <w:rPr>
                          <w:rFonts w:hint="eastAsia"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rPr>
                        <w:t>地　　址：</w:t>
                      </w:r>
                      <w:r>
                        <w:rPr>
                          <w:rFonts w:hint="eastAsia" w:ascii="仿宋_GB2312" w:hAnsi="仿宋_GB2312" w:eastAsia="仿宋_GB2312" w:cs="仿宋_GB2312"/>
                          <w:sz w:val="28"/>
                          <w:szCs w:val="28"/>
                          <w:vertAlign w:val="baseline"/>
                          <w:lang w:val="en-US" w:eastAsia="zh-CN"/>
                        </w:rPr>
                        <w:t>明光市管店镇罗岭工业集中区 104 国道东侧</w:t>
                      </w:r>
                    </w:p>
                    <w:p>
                      <w:pPr>
                        <w:snapToGrid w:val="0"/>
                        <w:spacing w:line="360" w:lineRule="auto"/>
                        <w:rPr>
                          <w:rFonts w:hint="default"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rPr>
                        <w:t>邮政编码：239</w:t>
                      </w:r>
                      <w:r>
                        <w:rPr>
                          <w:rFonts w:hint="eastAsia" w:ascii="仿宋_GB2312" w:hAnsi="仿宋_GB2312" w:eastAsia="仿宋_GB2312" w:cs="仿宋_GB2312"/>
                          <w:bCs/>
                          <w:sz w:val="28"/>
                          <w:szCs w:val="28"/>
                          <w:lang w:val="en-US" w:eastAsia="zh-CN"/>
                        </w:rPr>
                        <w:t>419</w:t>
                      </w:r>
                    </w:p>
                    <w:p>
                      <w:pPr>
                        <w:snapToGrid w:val="0"/>
                        <w:spacing w:line="360" w:lineRule="auto"/>
                        <w:rPr>
                          <w:rFonts w:hint="default"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rPr>
                        <w:t>电　　话</w:t>
                      </w:r>
                      <w:r>
                        <w:rPr>
                          <w:rFonts w:hint="eastAsia" w:ascii="仿宋_GB2312" w:hAnsi="仿宋_GB2312" w:eastAsia="仿宋_GB2312" w:cs="仿宋_GB2312"/>
                          <w:bCs/>
                          <w:color w:val="auto"/>
                          <w:sz w:val="28"/>
                          <w:szCs w:val="28"/>
                        </w:rPr>
                        <w:t>：</w:t>
                      </w:r>
                      <w:r>
                        <w:rPr>
                          <w:rFonts w:hint="eastAsia" w:ascii="仿宋_GB2312" w:hAnsi="仿宋_GB2312" w:eastAsia="仿宋_GB2312" w:cs="仿宋_GB2312"/>
                          <w:bCs/>
                          <w:color w:val="auto"/>
                          <w:sz w:val="28"/>
                          <w:szCs w:val="28"/>
                          <w:lang w:val="en-US" w:eastAsia="zh-CN"/>
                        </w:rPr>
                        <w:t>18755073700</w:t>
                      </w:r>
                    </w:p>
                    <w:p/>
                  </w:txbxContent>
                </v:textbox>
              </v:rect>
            </w:pict>
          </mc:Fallback>
        </mc:AlternateContent>
      </w:r>
      <w:r>
        <w:rPr>
          <w:b/>
          <w:bCs/>
          <w:color w:val="auto"/>
          <w:sz w:val="32"/>
        </w:rPr>
        <mc:AlternateContent>
          <mc:Choice Requires="wps">
            <w:drawing>
              <wp:anchor distT="0" distB="0" distL="114300" distR="114300" simplePos="0" relativeHeight="251659264" behindDoc="0" locked="0" layoutInCell="1" allowOverlap="1">
                <wp:simplePos x="0" y="0"/>
                <wp:positionH relativeFrom="column">
                  <wp:posOffset>-194310</wp:posOffset>
                </wp:positionH>
                <wp:positionV relativeFrom="paragraph">
                  <wp:posOffset>235585</wp:posOffset>
                </wp:positionV>
                <wp:extent cx="2889250" cy="2015490"/>
                <wp:effectExtent l="0" t="0" r="6350" b="3810"/>
                <wp:wrapNone/>
                <wp:docPr id="1" name="矩形 7"/>
                <wp:cNvGraphicFramePr/>
                <a:graphic xmlns:a="http://schemas.openxmlformats.org/drawingml/2006/main">
                  <a:graphicData uri="http://schemas.microsoft.com/office/word/2010/wordprocessingShape">
                    <wps:wsp>
                      <wps:cNvSpPr/>
                      <wps:spPr>
                        <a:xfrm>
                          <a:off x="0" y="0"/>
                          <a:ext cx="2889250" cy="2015490"/>
                        </a:xfrm>
                        <a:prstGeom prst="rect">
                          <a:avLst/>
                        </a:prstGeom>
                        <a:solidFill>
                          <a:srgbClr val="FFFFFF"/>
                        </a:solidFill>
                        <a:ln w="38100">
                          <a:noFill/>
                        </a:ln>
                      </wps:spPr>
                      <wps:txbx>
                        <w:txbxContent>
                          <w:p>
                            <w:pPr>
                              <w:snapToGrid w:val="0"/>
                              <w:spacing w:line="360" w:lineRule="auto"/>
                              <w:rPr>
                                <w:rFonts w:hint="eastAsia" w:ascii="仿宋_GB2312" w:hAnsi="仿宋_GB2312" w:eastAsia="仿宋_GB2312" w:cs="仿宋_GB2312"/>
                                <w:bCs/>
                                <w:sz w:val="28"/>
                                <w:szCs w:val="28"/>
                                <w:lang w:eastAsia="zh-CN"/>
                              </w:rPr>
                            </w:pPr>
                            <w:r>
                              <w:rPr>
                                <w:rFonts w:hint="eastAsia" w:ascii="仿宋_GB2312" w:hAnsi="仿宋_GB2312" w:eastAsia="仿宋_GB2312" w:cs="仿宋_GB2312"/>
                                <w:bCs/>
                                <w:sz w:val="28"/>
                                <w:szCs w:val="28"/>
                                <w:lang w:eastAsia="zh-CN"/>
                              </w:rPr>
                              <w:t>安徽迈峰检测技术有限公司</w:t>
                            </w:r>
                          </w:p>
                          <w:p>
                            <w:pPr>
                              <w:snapToGrid w:val="0"/>
                              <w:spacing w:line="360" w:lineRule="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地　　址：安徽省合肥市高新区潜水东路16号</w:t>
                            </w:r>
                          </w:p>
                          <w:p>
                            <w:pPr>
                              <w:snapToGrid w:val="0"/>
                              <w:spacing w:line="360" w:lineRule="auto"/>
                              <w:rPr>
                                <w:rFonts w:hint="default"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rPr>
                              <w:t>邮政编码：2</w:t>
                            </w:r>
                            <w:r>
                              <w:rPr>
                                <w:rFonts w:hint="eastAsia" w:ascii="仿宋_GB2312" w:hAnsi="仿宋_GB2312" w:eastAsia="仿宋_GB2312" w:cs="仿宋_GB2312"/>
                                <w:bCs/>
                                <w:sz w:val="28"/>
                                <w:szCs w:val="28"/>
                                <w:lang w:val="en-US" w:eastAsia="zh-CN"/>
                              </w:rPr>
                              <w:t>30</w:t>
                            </w:r>
                            <w:r>
                              <w:rPr>
                                <w:rFonts w:hint="eastAsia" w:ascii="仿宋_GB2312" w:hAnsi="仿宋_GB2312" w:eastAsia="仿宋_GB2312" w:cs="仿宋_GB2312"/>
                                <w:bCs/>
                                <w:sz w:val="28"/>
                                <w:szCs w:val="28"/>
                              </w:rPr>
                              <w:t>0</w:t>
                            </w:r>
                            <w:r>
                              <w:rPr>
                                <w:rFonts w:hint="eastAsia" w:ascii="仿宋_GB2312" w:hAnsi="仿宋_GB2312" w:eastAsia="仿宋_GB2312" w:cs="仿宋_GB2312"/>
                                <w:bCs/>
                                <w:sz w:val="28"/>
                                <w:szCs w:val="28"/>
                                <w:lang w:val="en-US" w:eastAsia="zh-CN"/>
                              </w:rPr>
                              <w:t>88</w:t>
                            </w:r>
                          </w:p>
                          <w:p>
                            <w:pPr>
                              <w:rPr>
                                <w:rFonts w:hint="default" w:eastAsia="宋体"/>
                                <w:lang w:val="en-US" w:eastAsia="zh-CN"/>
                              </w:rPr>
                            </w:pPr>
                            <w:r>
                              <w:rPr>
                                <w:rFonts w:hint="eastAsia" w:ascii="仿宋_GB2312" w:hAnsi="仿宋_GB2312" w:eastAsia="仿宋_GB2312" w:cs="仿宋_GB2312"/>
                                <w:bCs/>
                                <w:sz w:val="28"/>
                                <w:szCs w:val="28"/>
                                <w:lang w:eastAsia="zh-CN"/>
                              </w:rPr>
                              <w:t>电</w:t>
                            </w:r>
                            <w:r>
                              <w:rPr>
                                <w:rFonts w:hint="eastAsia" w:ascii="仿宋_GB2312" w:hAnsi="仿宋_GB2312" w:eastAsia="仿宋_GB2312" w:cs="仿宋_GB2312"/>
                                <w:bCs/>
                                <w:sz w:val="28"/>
                                <w:szCs w:val="28"/>
                                <w:lang w:val="en-US" w:eastAsia="zh-CN"/>
                              </w:rPr>
                              <w:t xml:space="preserve">    </w:t>
                            </w:r>
                            <w:r>
                              <w:rPr>
                                <w:rFonts w:hint="eastAsia" w:ascii="仿宋_GB2312" w:hAnsi="仿宋_GB2312" w:eastAsia="仿宋_GB2312" w:cs="仿宋_GB2312"/>
                                <w:bCs/>
                                <w:sz w:val="28"/>
                                <w:szCs w:val="28"/>
                                <w:lang w:eastAsia="zh-CN"/>
                              </w:rPr>
                              <w:t>话：</w:t>
                            </w:r>
                            <w:r>
                              <w:rPr>
                                <w:rFonts w:hint="eastAsia" w:ascii="仿宋_GB2312" w:hAnsi="仿宋_GB2312" w:eastAsia="仿宋_GB2312" w:cs="仿宋_GB2312"/>
                                <w:bCs/>
                                <w:sz w:val="28"/>
                                <w:szCs w:val="28"/>
                                <w:lang w:val="en-US" w:eastAsia="zh-CN"/>
                              </w:rPr>
                              <w:t>0551-65358397</w:t>
                            </w:r>
                          </w:p>
                        </w:txbxContent>
                      </wps:txbx>
                      <wps:bodyPr vert="horz" wrap="square" anchor="t" upright="1"/>
                    </wps:wsp>
                  </a:graphicData>
                </a:graphic>
              </wp:anchor>
            </w:drawing>
          </mc:Choice>
          <mc:Fallback>
            <w:pict>
              <v:rect id="矩形 7" o:spid="_x0000_s1026" o:spt="1" style="position:absolute;left:0pt;margin-left:-15.3pt;margin-top:18.55pt;height:158.7pt;width:227.5pt;z-index:251659264;mso-width-relative:page;mso-height-relative:page;" fillcolor="#FFFFFF" filled="t" stroked="f" coordsize="21600,21600" o:gfxdata="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5yE3aAAAACgEAAA8AAAAA&#10;AAAAAQAgAAAAIgAAAGRycy9kb3ducmV2LnhtbFBLAQIUABQAAAAIAIdO4kCcEyFQ2QEAAJoDAAAO&#10;AAAAAAAAAAEAIAAAACkBAABkcnMvZTJvRG9jLnhtbFBLBQYAAAAABgAGAFkBAAB0BQAAAAA=&#10;">
                <v:fill on="t" focussize="0,0"/>
                <v:stroke on="f" weight="3pt"/>
                <v:imagedata o:title=""/>
                <o:lock v:ext="edit" aspectratio="f"/>
                <v:textbox>
                  <w:txbxContent>
                    <w:p>
                      <w:pPr>
                        <w:snapToGrid w:val="0"/>
                        <w:spacing w:line="360" w:lineRule="auto"/>
                        <w:rPr>
                          <w:rFonts w:hint="eastAsia" w:ascii="仿宋_GB2312" w:hAnsi="仿宋_GB2312" w:eastAsia="仿宋_GB2312" w:cs="仿宋_GB2312"/>
                          <w:bCs/>
                          <w:sz w:val="28"/>
                          <w:szCs w:val="28"/>
                          <w:lang w:eastAsia="zh-CN"/>
                        </w:rPr>
                      </w:pPr>
                      <w:r>
                        <w:rPr>
                          <w:rFonts w:hint="eastAsia" w:ascii="仿宋_GB2312" w:hAnsi="仿宋_GB2312" w:eastAsia="仿宋_GB2312" w:cs="仿宋_GB2312"/>
                          <w:bCs/>
                          <w:sz w:val="28"/>
                          <w:szCs w:val="28"/>
                          <w:lang w:eastAsia="zh-CN"/>
                        </w:rPr>
                        <w:t>安徽迈峰检测技术有限公司</w:t>
                      </w:r>
                    </w:p>
                    <w:p>
                      <w:pPr>
                        <w:snapToGrid w:val="0"/>
                        <w:spacing w:line="360" w:lineRule="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地　　址：安徽省合肥市高新区潜水东路16号</w:t>
                      </w:r>
                    </w:p>
                    <w:p>
                      <w:pPr>
                        <w:snapToGrid w:val="0"/>
                        <w:spacing w:line="360" w:lineRule="auto"/>
                        <w:rPr>
                          <w:rFonts w:hint="default"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rPr>
                        <w:t>邮政编码：2</w:t>
                      </w:r>
                      <w:r>
                        <w:rPr>
                          <w:rFonts w:hint="eastAsia" w:ascii="仿宋_GB2312" w:hAnsi="仿宋_GB2312" w:eastAsia="仿宋_GB2312" w:cs="仿宋_GB2312"/>
                          <w:bCs/>
                          <w:sz w:val="28"/>
                          <w:szCs w:val="28"/>
                          <w:lang w:val="en-US" w:eastAsia="zh-CN"/>
                        </w:rPr>
                        <w:t>30</w:t>
                      </w:r>
                      <w:r>
                        <w:rPr>
                          <w:rFonts w:hint="eastAsia" w:ascii="仿宋_GB2312" w:hAnsi="仿宋_GB2312" w:eastAsia="仿宋_GB2312" w:cs="仿宋_GB2312"/>
                          <w:bCs/>
                          <w:sz w:val="28"/>
                          <w:szCs w:val="28"/>
                        </w:rPr>
                        <w:t>0</w:t>
                      </w:r>
                      <w:r>
                        <w:rPr>
                          <w:rFonts w:hint="eastAsia" w:ascii="仿宋_GB2312" w:hAnsi="仿宋_GB2312" w:eastAsia="仿宋_GB2312" w:cs="仿宋_GB2312"/>
                          <w:bCs/>
                          <w:sz w:val="28"/>
                          <w:szCs w:val="28"/>
                          <w:lang w:val="en-US" w:eastAsia="zh-CN"/>
                        </w:rPr>
                        <w:t>88</w:t>
                      </w:r>
                    </w:p>
                    <w:p>
                      <w:pPr>
                        <w:rPr>
                          <w:rFonts w:hint="default" w:eastAsia="宋体"/>
                          <w:lang w:val="en-US" w:eastAsia="zh-CN"/>
                        </w:rPr>
                      </w:pPr>
                      <w:r>
                        <w:rPr>
                          <w:rFonts w:hint="eastAsia" w:ascii="仿宋_GB2312" w:hAnsi="仿宋_GB2312" w:eastAsia="仿宋_GB2312" w:cs="仿宋_GB2312"/>
                          <w:bCs/>
                          <w:sz w:val="28"/>
                          <w:szCs w:val="28"/>
                          <w:lang w:eastAsia="zh-CN"/>
                        </w:rPr>
                        <w:t>电</w:t>
                      </w:r>
                      <w:r>
                        <w:rPr>
                          <w:rFonts w:hint="eastAsia" w:ascii="仿宋_GB2312" w:hAnsi="仿宋_GB2312" w:eastAsia="仿宋_GB2312" w:cs="仿宋_GB2312"/>
                          <w:bCs/>
                          <w:sz w:val="28"/>
                          <w:szCs w:val="28"/>
                          <w:lang w:val="en-US" w:eastAsia="zh-CN"/>
                        </w:rPr>
                        <w:t xml:space="preserve">    </w:t>
                      </w:r>
                      <w:r>
                        <w:rPr>
                          <w:rFonts w:hint="eastAsia" w:ascii="仿宋_GB2312" w:hAnsi="仿宋_GB2312" w:eastAsia="仿宋_GB2312" w:cs="仿宋_GB2312"/>
                          <w:bCs/>
                          <w:sz w:val="28"/>
                          <w:szCs w:val="28"/>
                          <w:lang w:eastAsia="zh-CN"/>
                        </w:rPr>
                        <w:t>话：</w:t>
                      </w:r>
                      <w:r>
                        <w:rPr>
                          <w:rFonts w:hint="eastAsia" w:ascii="仿宋_GB2312" w:hAnsi="仿宋_GB2312" w:eastAsia="仿宋_GB2312" w:cs="仿宋_GB2312"/>
                          <w:bCs/>
                          <w:sz w:val="28"/>
                          <w:szCs w:val="28"/>
                          <w:lang w:val="en-US" w:eastAsia="zh-CN"/>
                        </w:rPr>
                        <w:t>0551-65358397</w:t>
                      </w:r>
                    </w:p>
                  </w:txbxContent>
                </v:textbox>
              </v:rect>
            </w:pict>
          </mc:Fallback>
        </mc:AlternateContent>
      </w:r>
    </w:p>
    <w:p>
      <w:pPr>
        <w:snapToGrid w:val="0"/>
        <w:spacing w:line="360" w:lineRule="auto"/>
        <w:rPr>
          <w:bCs/>
          <w:color w:val="auto"/>
          <w:sz w:val="28"/>
          <w:szCs w:val="28"/>
        </w:rPr>
      </w:pPr>
      <w:r>
        <w:rPr>
          <w:bCs/>
          <w:color w:val="auto"/>
          <w:sz w:val="28"/>
          <w:szCs w:val="28"/>
        </w:rPr>
        <w:t>江</w:t>
      </w:r>
    </w:p>
    <w:p>
      <w:pPr>
        <w:snapToGrid w:val="0"/>
        <w:spacing w:line="360" w:lineRule="auto"/>
        <w:rPr>
          <w:color w:val="auto"/>
          <w:sz w:val="32"/>
        </w:rPr>
      </w:pPr>
    </w:p>
    <w:p>
      <w:pPr>
        <w:snapToGrid w:val="0"/>
        <w:spacing w:line="360" w:lineRule="auto"/>
        <w:rPr>
          <w:color w:val="auto"/>
          <w:sz w:val="32"/>
        </w:rPr>
      </w:pPr>
    </w:p>
    <w:p>
      <w:pPr>
        <w:snapToGrid w:val="0"/>
        <w:spacing w:line="360" w:lineRule="auto"/>
        <w:rPr>
          <w:color w:val="auto"/>
          <w:sz w:val="32"/>
        </w:rPr>
      </w:pPr>
    </w:p>
    <w:p>
      <w:pPr>
        <w:snapToGrid w:val="0"/>
        <w:spacing w:line="260" w:lineRule="exact"/>
        <w:jc w:val="center"/>
        <w:rPr>
          <w:rFonts w:hint="eastAsia"/>
          <w:color w:val="auto"/>
          <w:sz w:val="32"/>
        </w:rPr>
      </w:pPr>
    </w:p>
    <w:p>
      <w:pPr>
        <w:snapToGrid w:val="0"/>
        <w:spacing w:line="260" w:lineRule="exact"/>
        <w:jc w:val="center"/>
        <w:rPr>
          <w:rFonts w:hint="eastAsia"/>
          <w:color w:val="auto"/>
          <w:sz w:val="32"/>
        </w:rPr>
      </w:pPr>
    </w:p>
    <w:p>
      <w:pPr>
        <w:snapToGrid w:val="0"/>
        <w:spacing w:line="260" w:lineRule="exact"/>
        <w:jc w:val="center"/>
        <w:rPr>
          <w:rFonts w:hint="eastAsia"/>
          <w:color w:val="auto"/>
          <w:sz w:val="32"/>
        </w:rPr>
      </w:pPr>
    </w:p>
    <w:p>
      <w:pPr>
        <w:snapToGrid w:val="0"/>
        <w:spacing w:line="260" w:lineRule="exact"/>
        <w:jc w:val="center"/>
        <w:rPr>
          <w:rFonts w:hint="eastAsia"/>
          <w:color w:val="auto"/>
          <w:sz w:val="32"/>
        </w:rPr>
      </w:pPr>
    </w:p>
    <w:p>
      <w:pPr>
        <w:snapToGrid w:val="0"/>
        <w:spacing w:line="260" w:lineRule="exact"/>
        <w:jc w:val="left"/>
        <w:rPr>
          <w:rFonts w:hint="eastAsia" w:ascii="仿宋_GB2312" w:hAnsi="仿宋_GB2312" w:eastAsia="仿宋_GB2312" w:cs="仿宋_GB2312"/>
          <w:b/>
          <w:bCs/>
          <w:color w:val="auto"/>
          <w:sz w:val="28"/>
          <w:szCs w:val="28"/>
          <w:lang w:eastAsia="zh-CN"/>
        </w:rPr>
        <w:sectPr>
          <w:headerReference r:id="rId8" w:type="first"/>
          <w:footerReference r:id="rId10" w:type="first"/>
          <w:headerReference r:id="rId7" w:type="default"/>
          <w:footerReference r:id="rId9" w:type="default"/>
          <w:pgSz w:w="11906" w:h="16838"/>
          <w:pgMar w:top="1440" w:right="1797" w:bottom="1440" w:left="1797" w:header="851" w:footer="992" w:gutter="0"/>
          <w:pgBorders>
            <w:top w:val="none" w:sz="0" w:space="0"/>
            <w:left w:val="none" w:sz="0" w:space="0"/>
            <w:bottom w:val="none" w:sz="0" w:space="0"/>
            <w:right w:val="none" w:sz="0" w:space="0"/>
          </w:pgBorders>
          <w:pgNumType w:fmt="numberInDash" w:start="1"/>
          <w:cols w:space="720" w:num="1"/>
          <w:titlePg/>
          <w:docGrid w:type="linesAndChars" w:linePitch="312" w:charSpace="0"/>
        </w:sectPr>
      </w:pPr>
    </w:p>
    <w:p>
      <w:pPr>
        <w:pStyle w:val="4"/>
        <w:keepNext/>
        <w:keepLines/>
        <w:pageBreakBefore w:val="0"/>
        <w:widowControl w:val="0"/>
        <w:kinsoku/>
        <w:wordWrap/>
        <w:overflowPunct/>
        <w:topLinePunct w:val="0"/>
        <w:autoSpaceDE/>
        <w:autoSpaceDN/>
        <w:bidi w:val="0"/>
        <w:adjustRightInd/>
        <w:snapToGrid w:val="0"/>
        <w:spacing w:after="0" w:line="240" w:lineRule="auto"/>
        <w:textAlignment w:val="baseline"/>
        <w:rPr>
          <w:rFonts w:hint="eastAsia"/>
          <w:color w:val="auto"/>
          <w:lang w:eastAsia="zh-CN"/>
        </w:rPr>
      </w:pPr>
      <w:r>
        <w:rPr>
          <w:rFonts w:hint="eastAsia"/>
          <w:color w:val="auto"/>
          <w:lang w:eastAsia="zh-CN"/>
        </w:rPr>
        <w:t>表一</w:t>
      </w:r>
    </w:p>
    <w:tbl>
      <w:tblPr>
        <w:tblStyle w:val="17"/>
        <w:tblW w:w="933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20"/>
        <w:gridCol w:w="1818"/>
        <w:gridCol w:w="1936"/>
        <w:gridCol w:w="1521"/>
        <w:gridCol w:w="1044"/>
        <w:gridCol w:w="13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eastAsia="zh-CN"/>
              </w:rPr>
              <w:t>建设项目名称</w:t>
            </w:r>
          </w:p>
        </w:tc>
        <w:tc>
          <w:tcPr>
            <w:tcW w:w="7712"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仿宋_GB2312" w:hAnsi="仿宋_GB2312" w:eastAsia="宋体" w:cs="仿宋_GB2312"/>
                <w:b w:val="0"/>
                <w:bCs w:val="0"/>
                <w:color w:val="auto"/>
                <w:sz w:val="28"/>
                <w:szCs w:val="28"/>
                <w:vertAlign w:val="baseline"/>
                <w:lang w:val="en-US" w:eastAsia="zh-CN"/>
              </w:rPr>
            </w:pPr>
            <w:r>
              <w:rPr>
                <w:rFonts w:hint="eastAsia" w:ascii="仿宋_GB2312" w:hAnsi="仿宋_GB2312" w:eastAsia="仿宋_GB2312" w:cs="仿宋_GB2312"/>
                <w:b w:val="0"/>
                <w:bCs w:val="0"/>
                <w:color w:val="auto"/>
                <w:sz w:val="28"/>
                <w:szCs w:val="28"/>
                <w:vertAlign w:val="baseline"/>
                <w:lang w:val="en-US" w:eastAsia="zh-CN"/>
              </w:rPr>
              <w:t>年产30万立方预拌砂浆、商品混凝土、15万立方PC预制构件项目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b/>
                <w:bCs/>
                <w:color w:val="auto"/>
                <w:sz w:val="28"/>
                <w:szCs w:val="28"/>
                <w:vertAlign w:val="baseline"/>
                <w:lang w:eastAsia="zh-CN"/>
              </w:rPr>
            </w:pPr>
            <w:r>
              <w:rPr>
                <w:rFonts w:hint="eastAsia" w:ascii="仿宋_GB2312" w:hAnsi="仿宋_GB2312" w:eastAsia="仿宋_GB2312" w:cs="仿宋_GB2312"/>
                <w:b/>
                <w:bCs/>
                <w:color w:val="auto"/>
                <w:sz w:val="28"/>
                <w:szCs w:val="28"/>
                <w:vertAlign w:val="baseline"/>
                <w:lang w:eastAsia="zh-CN"/>
              </w:rPr>
              <w:t>建设单位名称</w:t>
            </w:r>
          </w:p>
        </w:tc>
        <w:tc>
          <w:tcPr>
            <w:tcW w:w="7712"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b w:val="0"/>
                <w:bCs w:val="0"/>
                <w:color w:val="auto"/>
                <w:sz w:val="28"/>
                <w:szCs w:val="28"/>
                <w:vertAlign w:val="baseline"/>
                <w:lang w:eastAsia="zh-CN"/>
              </w:rPr>
            </w:pPr>
            <w:r>
              <w:rPr>
                <w:rFonts w:hint="eastAsia" w:ascii="仿宋_GB2312" w:hAnsi="仿宋_GB2312" w:eastAsia="仿宋_GB2312" w:cs="仿宋_GB2312"/>
                <w:b w:val="0"/>
                <w:bCs w:val="0"/>
                <w:color w:val="auto"/>
                <w:sz w:val="28"/>
                <w:szCs w:val="28"/>
                <w:vertAlign w:val="baseline"/>
                <w:lang w:eastAsia="zh-CN"/>
              </w:rPr>
              <w:t>明光市沪光建筑材料有限公司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b/>
                <w:bCs/>
                <w:color w:val="auto"/>
                <w:sz w:val="28"/>
                <w:szCs w:val="28"/>
                <w:vertAlign w:val="baseline"/>
                <w:lang w:eastAsia="zh-CN"/>
              </w:rPr>
            </w:pPr>
            <w:r>
              <w:rPr>
                <w:rFonts w:hint="eastAsia" w:ascii="仿宋_GB2312" w:hAnsi="仿宋_GB2312" w:eastAsia="仿宋_GB2312" w:cs="仿宋_GB2312"/>
                <w:b/>
                <w:bCs/>
                <w:color w:val="auto"/>
                <w:sz w:val="28"/>
                <w:szCs w:val="28"/>
                <w:vertAlign w:val="baseline"/>
                <w:lang w:eastAsia="zh-CN"/>
              </w:rPr>
              <w:t>建设项目性质</w:t>
            </w:r>
          </w:p>
        </w:tc>
        <w:tc>
          <w:tcPr>
            <w:tcW w:w="7712"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b w:val="0"/>
                <w:bCs w:val="0"/>
                <w:color w:val="auto"/>
                <w:sz w:val="28"/>
                <w:szCs w:val="28"/>
                <w:vertAlign w:val="baseline"/>
                <w:lang w:eastAsia="zh-CN"/>
              </w:rPr>
            </w:pPr>
            <w:r>
              <w:rPr>
                <w:rFonts w:hint="eastAsia" w:ascii="仿宋_GB2312" w:hAnsi="仿宋_GB2312" w:eastAsia="仿宋_GB2312" w:cs="仿宋_GB2312"/>
                <w:b w:val="0"/>
                <w:bCs w:val="0"/>
                <w:color w:val="auto"/>
                <w:sz w:val="28"/>
                <w:szCs w:val="28"/>
                <w:vertAlign w:val="baseline"/>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b/>
                <w:bCs/>
                <w:color w:val="auto"/>
                <w:sz w:val="28"/>
                <w:szCs w:val="28"/>
                <w:vertAlign w:val="baseline"/>
                <w:lang w:eastAsia="zh-CN"/>
              </w:rPr>
            </w:pPr>
            <w:r>
              <w:rPr>
                <w:rFonts w:hint="eastAsia" w:ascii="仿宋_GB2312" w:hAnsi="仿宋_GB2312" w:eastAsia="仿宋_GB2312" w:cs="仿宋_GB2312"/>
                <w:b/>
                <w:bCs/>
                <w:color w:val="auto"/>
                <w:sz w:val="28"/>
                <w:szCs w:val="28"/>
                <w:vertAlign w:val="baseline"/>
                <w:lang w:eastAsia="zh-CN"/>
              </w:rPr>
              <w:t>建设地点</w:t>
            </w:r>
          </w:p>
        </w:tc>
        <w:tc>
          <w:tcPr>
            <w:tcW w:w="7712"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color w:val="auto"/>
                <w:sz w:val="28"/>
                <w:szCs w:val="28"/>
                <w:vertAlign w:val="baseline"/>
                <w:lang w:val="en-US" w:eastAsia="zh-CN"/>
              </w:rPr>
            </w:pPr>
            <w:r>
              <w:rPr>
                <w:rFonts w:hint="eastAsia" w:ascii="仿宋_GB2312" w:hAnsi="仿宋_GB2312" w:eastAsia="仿宋_GB2312" w:cs="仿宋_GB2312"/>
                <w:color w:val="auto"/>
                <w:sz w:val="28"/>
                <w:szCs w:val="28"/>
                <w:vertAlign w:val="baseline"/>
                <w:lang w:val="en-US" w:eastAsia="zh-CN"/>
              </w:rPr>
              <w:t>明光市管店镇罗岭工业集中区104国道东侧</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color w:val="auto"/>
                <w:sz w:val="28"/>
                <w:szCs w:val="28"/>
                <w:vertAlign w:val="baseline"/>
                <w:lang w:val="en-US" w:eastAsia="zh-CN"/>
              </w:rPr>
            </w:pPr>
            <w:r>
              <w:rPr>
                <w:rFonts w:hint="eastAsia" w:ascii="仿宋_GB2312" w:hAnsi="仿宋_GB2312" w:eastAsia="仿宋_GB2312" w:cs="仿宋_GB2312"/>
                <w:color w:val="auto"/>
                <w:sz w:val="28"/>
                <w:szCs w:val="28"/>
                <w:vertAlign w:val="baseline"/>
                <w:lang w:val="en-US" w:eastAsia="zh-CN"/>
              </w:rPr>
              <w:t>（</w:t>
            </w:r>
            <w:r>
              <w:rPr>
                <w:rFonts w:hint="default" w:ascii="仿宋_GB2312" w:hAnsi="仿宋_GB2312" w:eastAsia="仿宋_GB2312" w:cs="仿宋_GB2312"/>
                <w:color w:val="auto"/>
                <w:sz w:val="28"/>
                <w:szCs w:val="28"/>
                <w:vertAlign w:val="baseline"/>
                <w:lang w:val="en-US" w:eastAsia="zh-CN"/>
              </w:rPr>
              <w:t>东经118°5'20.598"°</w:t>
            </w:r>
            <w:r>
              <w:rPr>
                <w:rFonts w:hint="eastAsia" w:ascii="仿宋_GB2312" w:hAnsi="仿宋_GB2312" w:eastAsia="仿宋_GB2312" w:cs="仿宋_GB2312"/>
                <w:color w:val="auto"/>
                <w:sz w:val="28"/>
                <w:szCs w:val="28"/>
                <w:vertAlign w:val="baseline"/>
                <w:lang w:val="en-US" w:eastAsia="zh-CN"/>
              </w:rPr>
              <w:t>，</w:t>
            </w:r>
            <w:r>
              <w:rPr>
                <w:rFonts w:hint="default" w:ascii="仿宋_GB2312" w:hAnsi="仿宋_GB2312" w:eastAsia="仿宋_GB2312" w:cs="仿宋_GB2312"/>
                <w:color w:val="auto"/>
                <w:sz w:val="28"/>
                <w:szCs w:val="28"/>
                <w:vertAlign w:val="baseline"/>
                <w:lang w:val="en-US" w:eastAsia="zh-CN"/>
              </w:rPr>
              <w:t>北纬32°46'42.0132"</w:t>
            </w:r>
            <w:r>
              <w:rPr>
                <w:rFonts w:hint="eastAsia" w:ascii="仿宋_GB2312" w:hAnsi="仿宋_GB2312" w:eastAsia="仿宋_GB2312" w:cs="仿宋_GB2312"/>
                <w:color w:val="auto"/>
                <w:sz w:val="28"/>
                <w:szCs w:val="28"/>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b/>
                <w:bCs/>
                <w:color w:val="auto"/>
                <w:sz w:val="28"/>
                <w:szCs w:val="28"/>
                <w:vertAlign w:val="baseline"/>
                <w:lang w:eastAsia="zh-CN"/>
              </w:rPr>
            </w:pPr>
            <w:r>
              <w:rPr>
                <w:rFonts w:hint="eastAsia" w:ascii="仿宋_GB2312" w:hAnsi="仿宋_GB2312" w:eastAsia="仿宋_GB2312" w:cs="仿宋_GB2312"/>
                <w:b/>
                <w:bCs/>
                <w:color w:val="auto"/>
                <w:sz w:val="28"/>
                <w:szCs w:val="28"/>
                <w:vertAlign w:val="baseline"/>
                <w:lang w:eastAsia="zh-CN"/>
              </w:rPr>
              <w:t>主要产品名称</w:t>
            </w:r>
          </w:p>
        </w:tc>
        <w:tc>
          <w:tcPr>
            <w:tcW w:w="7712"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color w:val="auto"/>
                <w:sz w:val="28"/>
                <w:szCs w:val="28"/>
                <w:vertAlign w:val="baseline"/>
                <w:lang w:val="en-US" w:eastAsia="zh-CN"/>
              </w:rPr>
            </w:pPr>
            <w:r>
              <w:rPr>
                <w:rFonts w:hint="eastAsia" w:ascii="仿宋_GB2312" w:hAnsi="仿宋_GB2312" w:eastAsia="仿宋_GB2312" w:cs="仿宋_GB2312"/>
                <w:b w:val="0"/>
                <w:bCs w:val="0"/>
                <w:color w:val="auto"/>
                <w:sz w:val="28"/>
                <w:szCs w:val="28"/>
                <w:vertAlign w:val="baseline"/>
                <w:lang w:val="en-US" w:eastAsia="zh-CN"/>
              </w:rPr>
              <w:t>预拌砂浆、商品混凝土、PC预制构件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b/>
                <w:bCs/>
                <w:color w:val="auto"/>
                <w:sz w:val="28"/>
                <w:szCs w:val="28"/>
                <w:vertAlign w:val="baseline"/>
                <w:lang w:eastAsia="zh-CN"/>
              </w:rPr>
            </w:pPr>
            <w:r>
              <w:rPr>
                <w:rFonts w:hint="eastAsia" w:ascii="仿宋_GB2312" w:hAnsi="仿宋_GB2312" w:eastAsia="仿宋_GB2312" w:cs="仿宋_GB2312"/>
                <w:b/>
                <w:bCs/>
                <w:color w:val="auto"/>
                <w:sz w:val="28"/>
                <w:szCs w:val="28"/>
                <w:vertAlign w:val="baseline"/>
                <w:lang w:eastAsia="zh-CN"/>
              </w:rPr>
              <w:t>设计生产能力</w:t>
            </w:r>
          </w:p>
        </w:tc>
        <w:tc>
          <w:tcPr>
            <w:tcW w:w="7712"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仿宋_GB2312" w:hAnsi="仿宋_GB2312" w:eastAsia="仿宋_GB2312" w:cs="仿宋_GB2312"/>
                <w:color w:val="auto"/>
                <w:sz w:val="28"/>
                <w:szCs w:val="28"/>
                <w:vertAlign w:val="baseline"/>
                <w:lang w:val="en-US" w:eastAsia="zh-CN"/>
              </w:rPr>
            </w:pPr>
            <w:r>
              <w:rPr>
                <w:rFonts w:hint="eastAsia" w:ascii="仿宋_GB2312" w:hAnsi="仿宋_GB2312" w:eastAsia="仿宋_GB2312" w:cs="仿宋_GB2312"/>
                <w:color w:val="auto"/>
                <w:sz w:val="28"/>
                <w:szCs w:val="28"/>
                <w:vertAlign w:val="baseline"/>
                <w:lang w:val="en-US" w:eastAsia="zh-CN"/>
              </w:rPr>
              <w:t>年产30万立方预拌砂浆、商品混凝土、15万立方PC预制构件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b/>
                <w:bCs/>
                <w:color w:val="auto"/>
                <w:sz w:val="28"/>
                <w:szCs w:val="28"/>
                <w:vertAlign w:val="baseline"/>
                <w:lang w:eastAsia="zh-CN"/>
              </w:rPr>
            </w:pPr>
            <w:r>
              <w:rPr>
                <w:rFonts w:hint="eastAsia" w:ascii="仿宋_GB2312" w:hAnsi="仿宋_GB2312" w:eastAsia="仿宋_GB2312" w:cs="仿宋_GB2312"/>
                <w:b/>
                <w:bCs/>
                <w:color w:val="auto"/>
                <w:sz w:val="28"/>
                <w:szCs w:val="28"/>
                <w:vertAlign w:val="baseline"/>
                <w:lang w:eastAsia="zh-CN"/>
              </w:rPr>
              <w:t>实际生产能力</w:t>
            </w:r>
          </w:p>
        </w:tc>
        <w:tc>
          <w:tcPr>
            <w:tcW w:w="7712"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color w:val="auto"/>
                <w:sz w:val="28"/>
                <w:szCs w:val="28"/>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b/>
                <w:bCs/>
                <w:color w:val="auto"/>
                <w:sz w:val="28"/>
                <w:szCs w:val="28"/>
                <w:vertAlign w:val="baseline"/>
                <w:lang w:eastAsia="zh-CN"/>
              </w:rPr>
            </w:pPr>
            <w:r>
              <w:rPr>
                <w:rFonts w:hint="eastAsia" w:ascii="仿宋_GB2312" w:hAnsi="仿宋_GB2312" w:eastAsia="仿宋_GB2312" w:cs="仿宋_GB2312"/>
                <w:b/>
                <w:bCs/>
                <w:color w:val="auto"/>
                <w:sz w:val="28"/>
                <w:szCs w:val="28"/>
                <w:vertAlign w:val="baseline"/>
                <w:lang w:eastAsia="zh-CN"/>
              </w:rPr>
              <w:t>建设项目环评时间</w:t>
            </w:r>
          </w:p>
        </w:tc>
        <w:tc>
          <w:tcPr>
            <w:tcW w:w="18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仿宋_GB2312" w:hAnsi="仿宋_GB2312" w:eastAsia="仿宋_GB2312" w:cs="仿宋_GB2312"/>
                <w:color w:val="auto"/>
                <w:sz w:val="28"/>
                <w:szCs w:val="28"/>
                <w:vertAlign w:val="baseline"/>
                <w:lang w:val="en-US" w:eastAsia="zh-CN"/>
              </w:rPr>
            </w:pPr>
            <w:r>
              <w:rPr>
                <w:rFonts w:hint="eastAsia" w:ascii="仿宋_GB2312" w:hAnsi="仿宋_GB2312" w:eastAsia="仿宋_GB2312" w:cs="仿宋_GB2312"/>
                <w:color w:val="auto"/>
                <w:sz w:val="28"/>
                <w:szCs w:val="28"/>
                <w:vertAlign w:val="baseline"/>
                <w:lang w:val="en-US" w:eastAsia="zh-CN"/>
              </w:rPr>
              <w:t>2018年2月</w:t>
            </w:r>
          </w:p>
        </w:tc>
        <w:tc>
          <w:tcPr>
            <w:tcW w:w="19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b/>
                <w:bCs/>
                <w:color w:val="auto"/>
                <w:sz w:val="28"/>
                <w:szCs w:val="28"/>
                <w:vertAlign w:val="baseline"/>
              </w:rPr>
            </w:pPr>
            <w:r>
              <w:rPr>
                <w:rFonts w:hint="eastAsia" w:ascii="仿宋_GB2312" w:hAnsi="仿宋_GB2312" w:eastAsia="仿宋_GB2312" w:cs="仿宋_GB2312"/>
                <w:b/>
                <w:bCs/>
                <w:color w:val="auto"/>
                <w:sz w:val="28"/>
                <w:szCs w:val="28"/>
                <w:vertAlign w:val="baseline"/>
                <w:lang w:eastAsia="zh-CN"/>
              </w:rPr>
              <w:t>开工建设时间</w:t>
            </w:r>
          </w:p>
        </w:tc>
        <w:tc>
          <w:tcPr>
            <w:tcW w:w="3958"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仿宋_GB2312" w:hAnsi="仿宋_GB2312" w:eastAsia="仿宋_GB2312" w:cs="仿宋_GB2312"/>
                <w:color w:val="auto"/>
                <w:sz w:val="28"/>
                <w:szCs w:val="28"/>
                <w:vertAlign w:val="baseline"/>
                <w:lang w:val="en-US" w:eastAsia="zh-CN"/>
              </w:rPr>
            </w:pPr>
            <w:r>
              <w:rPr>
                <w:rFonts w:hint="eastAsia" w:ascii="仿宋_GB2312" w:hAnsi="仿宋_GB2312" w:eastAsia="仿宋_GB2312" w:cs="仿宋_GB2312"/>
                <w:color w:val="auto"/>
                <w:sz w:val="28"/>
                <w:szCs w:val="28"/>
                <w:vertAlign w:val="baseline"/>
                <w:lang w:val="en-US" w:eastAsia="zh-CN"/>
              </w:rPr>
              <w:t>2018年3月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b/>
                <w:bCs/>
                <w:color w:val="auto"/>
                <w:sz w:val="28"/>
                <w:szCs w:val="28"/>
                <w:vertAlign w:val="baseline"/>
                <w:lang w:eastAsia="zh-CN"/>
              </w:rPr>
            </w:pPr>
            <w:r>
              <w:rPr>
                <w:rFonts w:hint="eastAsia" w:ascii="仿宋_GB2312" w:hAnsi="仿宋_GB2312" w:eastAsia="仿宋_GB2312" w:cs="仿宋_GB2312"/>
                <w:b/>
                <w:bCs/>
                <w:color w:val="auto"/>
                <w:sz w:val="28"/>
                <w:szCs w:val="28"/>
                <w:vertAlign w:val="baseline"/>
                <w:lang w:eastAsia="zh-CN"/>
              </w:rPr>
              <w:t>调试时间</w:t>
            </w:r>
          </w:p>
        </w:tc>
        <w:tc>
          <w:tcPr>
            <w:tcW w:w="18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仿宋_GB2312" w:hAnsi="仿宋_GB2312" w:eastAsia="仿宋_GB2312" w:cs="仿宋_GB2312"/>
                <w:color w:val="auto"/>
                <w:sz w:val="28"/>
                <w:szCs w:val="28"/>
                <w:vertAlign w:val="baseline"/>
                <w:lang w:val="en-US" w:eastAsia="zh-CN"/>
              </w:rPr>
            </w:pPr>
            <w:r>
              <w:rPr>
                <w:rFonts w:hint="eastAsia" w:ascii="仿宋_GB2312" w:hAnsi="仿宋_GB2312" w:eastAsia="仿宋_GB2312" w:cs="仿宋_GB2312"/>
                <w:color w:val="auto"/>
                <w:sz w:val="28"/>
                <w:szCs w:val="28"/>
                <w:vertAlign w:val="baseline"/>
                <w:lang w:val="en-US" w:eastAsia="zh-CN"/>
              </w:rPr>
              <w:t>2018年7月</w:t>
            </w:r>
          </w:p>
        </w:tc>
        <w:tc>
          <w:tcPr>
            <w:tcW w:w="19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b/>
                <w:bCs/>
                <w:color w:val="auto"/>
                <w:sz w:val="28"/>
                <w:szCs w:val="28"/>
                <w:vertAlign w:val="baseline"/>
                <w:lang w:eastAsia="zh-CN"/>
              </w:rPr>
            </w:pPr>
            <w:r>
              <w:rPr>
                <w:rFonts w:hint="eastAsia" w:ascii="仿宋_GB2312" w:hAnsi="仿宋_GB2312" w:eastAsia="仿宋_GB2312" w:cs="仿宋_GB2312"/>
                <w:b/>
                <w:bCs/>
                <w:color w:val="auto"/>
                <w:sz w:val="28"/>
                <w:szCs w:val="28"/>
                <w:vertAlign w:val="baseline"/>
                <w:lang w:eastAsia="zh-CN"/>
              </w:rPr>
              <w:t>验收现场监测时间</w:t>
            </w:r>
          </w:p>
        </w:tc>
        <w:tc>
          <w:tcPr>
            <w:tcW w:w="3958"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vertAlign w:val="baseline"/>
                <w:lang w:val="en-US" w:eastAsia="zh-CN"/>
              </w:rPr>
              <w:t>2021.5.26</w:t>
            </w:r>
            <w:r>
              <w:rPr>
                <w:rFonts w:hint="default" w:ascii="Times New Roman" w:hAnsi="Times New Roman" w:eastAsia="仿宋_GB2312" w:cs="Times New Roman"/>
                <w:color w:val="auto"/>
                <w:sz w:val="28"/>
                <w:szCs w:val="28"/>
                <w:vertAlign w:val="baseline"/>
                <w:lang w:val="en-US" w:eastAsia="zh-CN"/>
              </w:rPr>
              <w:t>~</w:t>
            </w:r>
            <w:r>
              <w:rPr>
                <w:rFonts w:hint="eastAsia" w:ascii="仿宋_GB2312" w:hAnsi="仿宋_GB2312" w:eastAsia="仿宋_GB2312" w:cs="仿宋_GB2312"/>
                <w:color w:val="auto"/>
                <w:sz w:val="28"/>
                <w:szCs w:val="28"/>
                <w:vertAlign w:val="baseline"/>
                <w:lang w:val="en-US" w:eastAsia="zh-CN"/>
              </w:rPr>
              <w:t>2021.5.27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b/>
                <w:bCs/>
                <w:color w:val="auto"/>
                <w:sz w:val="28"/>
                <w:szCs w:val="28"/>
                <w:vertAlign w:val="baseline"/>
                <w:lang w:eastAsia="zh-CN"/>
              </w:rPr>
            </w:pPr>
            <w:r>
              <w:rPr>
                <w:rFonts w:hint="eastAsia" w:ascii="仿宋_GB2312" w:hAnsi="仿宋_GB2312" w:eastAsia="仿宋_GB2312" w:cs="仿宋_GB2312"/>
                <w:b/>
                <w:bCs/>
                <w:color w:val="auto"/>
                <w:sz w:val="28"/>
                <w:szCs w:val="28"/>
                <w:vertAlign w:val="baseline"/>
                <w:lang w:eastAsia="zh-CN"/>
              </w:rPr>
              <w:t>环评报告表</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b/>
                <w:bCs/>
                <w:color w:val="auto"/>
                <w:sz w:val="28"/>
                <w:szCs w:val="28"/>
                <w:vertAlign w:val="baseline"/>
                <w:lang w:eastAsia="zh-CN"/>
              </w:rPr>
            </w:pPr>
            <w:r>
              <w:rPr>
                <w:rFonts w:hint="eastAsia" w:ascii="仿宋_GB2312" w:hAnsi="仿宋_GB2312" w:eastAsia="仿宋_GB2312" w:cs="仿宋_GB2312"/>
                <w:b/>
                <w:bCs/>
                <w:color w:val="auto"/>
                <w:sz w:val="28"/>
                <w:szCs w:val="28"/>
                <w:vertAlign w:val="baseline"/>
                <w:lang w:eastAsia="zh-CN"/>
              </w:rPr>
              <w:t>审批部门</w:t>
            </w:r>
          </w:p>
        </w:tc>
        <w:tc>
          <w:tcPr>
            <w:tcW w:w="18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明光市生态环境分局</w:t>
            </w:r>
          </w:p>
        </w:tc>
        <w:tc>
          <w:tcPr>
            <w:tcW w:w="19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环评报告表</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编制单位</w:t>
            </w:r>
          </w:p>
        </w:tc>
        <w:tc>
          <w:tcPr>
            <w:tcW w:w="3958"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亳州市中环环境科技有限责任公司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b/>
                <w:bCs/>
                <w:color w:val="auto"/>
                <w:sz w:val="28"/>
                <w:szCs w:val="28"/>
                <w:vertAlign w:val="baseline"/>
                <w:lang w:eastAsia="zh-CN"/>
              </w:rPr>
            </w:pPr>
            <w:r>
              <w:rPr>
                <w:rFonts w:hint="eastAsia" w:ascii="仿宋_GB2312" w:hAnsi="仿宋_GB2312" w:eastAsia="仿宋_GB2312" w:cs="仿宋_GB2312"/>
                <w:b/>
                <w:bCs/>
                <w:color w:val="auto"/>
                <w:sz w:val="28"/>
                <w:szCs w:val="28"/>
                <w:vertAlign w:val="baseline"/>
                <w:lang w:eastAsia="zh-CN"/>
              </w:rPr>
              <w:t>环保设施设计单位</w:t>
            </w:r>
          </w:p>
        </w:tc>
        <w:tc>
          <w:tcPr>
            <w:tcW w:w="18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color w:val="auto"/>
                <w:sz w:val="28"/>
                <w:szCs w:val="28"/>
                <w:vertAlign w:val="baseline"/>
                <w:lang w:val="en-US" w:eastAsia="zh-CN"/>
              </w:rPr>
            </w:pPr>
            <w:r>
              <w:rPr>
                <w:rFonts w:hint="eastAsia" w:ascii="仿宋_GB2312" w:hAnsi="仿宋_GB2312" w:eastAsia="仿宋_GB2312" w:cs="仿宋_GB2312"/>
                <w:color w:val="auto"/>
                <w:sz w:val="28"/>
                <w:szCs w:val="28"/>
                <w:vertAlign w:val="baseline"/>
                <w:lang w:val="en-US" w:eastAsia="zh-CN"/>
              </w:rPr>
              <w:t>/</w:t>
            </w:r>
          </w:p>
        </w:tc>
        <w:tc>
          <w:tcPr>
            <w:tcW w:w="19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b/>
                <w:bCs/>
                <w:color w:val="auto"/>
                <w:sz w:val="28"/>
                <w:szCs w:val="28"/>
                <w:vertAlign w:val="baseline"/>
                <w:lang w:eastAsia="zh-CN"/>
              </w:rPr>
            </w:pPr>
            <w:r>
              <w:rPr>
                <w:rFonts w:hint="eastAsia" w:ascii="仿宋_GB2312" w:hAnsi="仿宋_GB2312" w:eastAsia="仿宋_GB2312" w:cs="仿宋_GB2312"/>
                <w:b/>
                <w:bCs/>
                <w:color w:val="auto"/>
                <w:sz w:val="28"/>
                <w:szCs w:val="28"/>
                <w:vertAlign w:val="baseline"/>
                <w:lang w:eastAsia="zh-CN"/>
              </w:rPr>
              <w:t>环保设施施工单位</w:t>
            </w:r>
          </w:p>
        </w:tc>
        <w:tc>
          <w:tcPr>
            <w:tcW w:w="3958"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color w:val="auto"/>
                <w:sz w:val="28"/>
                <w:szCs w:val="28"/>
                <w:vertAlign w:val="baseline"/>
                <w:lang w:val="en-US" w:eastAsia="zh-CN"/>
              </w:rPr>
            </w:pPr>
            <w:r>
              <w:rPr>
                <w:rFonts w:hint="eastAsia" w:ascii="仿宋_GB2312" w:hAnsi="仿宋_GB2312" w:eastAsia="仿宋_GB2312" w:cs="仿宋_GB2312"/>
                <w:color w:val="auto"/>
                <w:sz w:val="28"/>
                <w:szCs w:val="28"/>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b/>
                <w:bCs/>
                <w:color w:val="auto"/>
                <w:sz w:val="28"/>
                <w:szCs w:val="28"/>
                <w:vertAlign w:val="baseline"/>
                <w:lang w:eastAsia="zh-CN"/>
              </w:rPr>
            </w:pPr>
            <w:r>
              <w:rPr>
                <w:rFonts w:hint="eastAsia" w:ascii="仿宋_GB2312" w:hAnsi="仿宋_GB2312" w:eastAsia="仿宋_GB2312" w:cs="仿宋_GB2312"/>
                <w:b/>
                <w:bCs/>
                <w:color w:val="auto"/>
                <w:sz w:val="28"/>
                <w:szCs w:val="28"/>
                <w:vertAlign w:val="baseline"/>
                <w:lang w:eastAsia="zh-CN"/>
              </w:rPr>
              <w:t>投资总概算</w:t>
            </w:r>
          </w:p>
        </w:tc>
        <w:tc>
          <w:tcPr>
            <w:tcW w:w="18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6500万元</w:t>
            </w:r>
          </w:p>
        </w:tc>
        <w:tc>
          <w:tcPr>
            <w:tcW w:w="19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
                <w:bCs/>
                <w:color w:val="auto"/>
                <w:sz w:val="28"/>
                <w:szCs w:val="28"/>
                <w:lang w:val="en-US" w:eastAsia="zh-CN"/>
              </w:rPr>
              <w:t>环保投资总概算</w:t>
            </w:r>
          </w:p>
        </w:tc>
        <w:tc>
          <w:tcPr>
            <w:tcW w:w="152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44万元</w:t>
            </w:r>
          </w:p>
        </w:tc>
        <w:tc>
          <w:tcPr>
            <w:tcW w:w="10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
                <w:bCs/>
                <w:color w:val="auto"/>
                <w:sz w:val="28"/>
                <w:szCs w:val="28"/>
                <w:lang w:val="en-US" w:eastAsia="zh-CN"/>
              </w:rPr>
              <w:t>比例</w:t>
            </w:r>
          </w:p>
        </w:tc>
        <w:tc>
          <w:tcPr>
            <w:tcW w:w="13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0.68%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b/>
                <w:bCs/>
                <w:color w:val="auto"/>
                <w:sz w:val="28"/>
                <w:szCs w:val="28"/>
                <w:vertAlign w:val="baseline"/>
                <w:lang w:eastAsia="zh-CN"/>
              </w:rPr>
            </w:pPr>
            <w:r>
              <w:rPr>
                <w:rFonts w:hint="eastAsia" w:ascii="仿宋_GB2312" w:hAnsi="仿宋_GB2312" w:eastAsia="仿宋_GB2312" w:cs="仿宋_GB2312"/>
                <w:b/>
                <w:bCs/>
                <w:color w:val="auto"/>
                <w:sz w:val="28"/>
                <w:szCs w:val="28"/>
                <w:vertAlign w:val="baseline"/>
                <w:lang w:eastAsia="zh-CN"/>
              </w:rPr>
              <w:t>实际总概算</w:t>
            </w:r>
          </w:p>
        </w:tc>
        <w:tc>
          <w:tcPr>
            <w:tcW w:w="18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5000万元</w:t>
            </w:r>
          </w:p>
        </w:tc>
        <w:tc>
          <w:tcPr>
            <w:tcW w:w="19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b/>
                <w:bCs/>
                <w:color w:val="auto"/>
                <w:sz w:val="28"/>
                <w:szCs w:val="28"/>
                <w:lang w:eastAsia="zh-CN"/>
              </w:rPr>
              <w:t>环保投资</w:t>
            </w:r>
          </w:p>
        </w:tc>
        <w:tc>
          <w:tcPr>
            <w:tcW w:w="152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45万元</w:t>
            </w:r>
          </w:p>
        </w:tc>
        <w:tc>
          <w:tcPr>
            <w:tcW w:w="10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b/>
                <w:bCs/>
                <w:color w:val="auto"/>
                <w:sz w:val="28"/>
                <w:szCs w:val="28"/>
                <w:vertAlign w:val="baseline"/>
                <w:lang w:eastAsia="zh-CN"/>
              </w:rPr>
            </w:pPr>
            <w:r>
              <w:rPr>
                <w:rFonts w:hint="eastAsia" w:ascii="仿宋_GB2312" w:hAnsi="仿宋_GB2312" w:eastAsia="仿宋_GB2312" w:cs="仿宋_GB2312"/>
                <w:b/>
                <w:bCs/>
                <w:color w:val="auto"/>
                <w:sz w:val="28"/>
                <w:szCs w:val="28"/>
                <w:vertAlign w:val="baseline"/>
                <w:lang w:eastAsia="zh-CN"/>
              </w:rPr>
              <w:t>比例</w:t>
            </w:r>
          </w:p>
        </w:tc>
        <w:tc>
          <w:tcPr>
            <w:tcW w:w="13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color w:val="auto"/>
                <w:sz w:val="28"/>
                <w:szCs w:val="28"/>
                <w:vertAlign w:val="baseline"/>
                <w:lang w:val="en-US" w:eastAsia="zh-CN"/>
              </w:rPr>
            </w:pPr>
            <w:r>
              <w:rPr>
                <w:rFonts w:hint="eastAsia" w:ascii="仿宋_GB2312" w:hAnsi="仿宋_GB2312" w:eastAsia="仿宋_GB2312" w:cs="仿宋_GB2312"/>
                <w:color w:val="auto"/>
                <w:sz w:val="28"/>
                <w:szCs w:val="28"/>
                <w:lang w:val="en-US" w:eastAsia="zh-CN"/>
              </w:rPr>
              <w:t>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b/>
                <w:bCs/>
                <w:color w:val="auto"/>
                <w:sz w:val="28"/>
                <w:szCs w:val="28"/>
                <w:vertAlign w:val="baseline"/>
                <w:lang w:eastAsia="zh-CN"/>
              </w:rPr>
            </w:pPr>
            <w:r>
              <w:rPr>
                <w:rFonts w:hint="eastAsia" w:ascii="仿宋_GB2312" w:hAnsi="仿宋_GB2312" w:eastAsia="仿宋_GB2312" w:cs="仿宋_GB2312"/>
                <w:b/>
                <w:bCs/>
                <w:color w:val="auto"/>
                <w:sz w:val="28"/>
                <w:szCs w:val="28"/>
                <w:vertAlign w:val="baseline"/>
                <w:lang w:eastAsia="zh-CN"/>
              </w:rPr>
              <w:t>验收监测依据</w:t>
            </w:r>
          </w:p>
        </w:tc>
        <w:tc>
          <w:tcPr>
            <w:tcW w:w="7712" w:type="dxa"/>
            <w:gridSpan w:val="5"/>
            <w:tcBorders>
              <w:tl2br w:val="nil"/>
              <w:tr2bl w:val="nil"/>
            </w:tcBorders>
            <w:noWrap w:val="0"/>
            <w:vAlign w:val="center"/>
          </w:tcPr>
          <w:p>
            <w:pPr>
              <w:keepNext w:val="0"/>
              <w:keepLines w:val="0"/>
              <w:pageBreakBefore w:val="0"/>
              <w:widowControl w:val="0"/>
              <w:numPr>
                <w:ilvl w:val="0"/>
                <w:numId w:val="2"/>
              </w:numPr>
              <w:kinsoku/>
              <w:wordWrap/>
              <w:overflowPunct/>
              <w:topLinePunct w:val="0"/>
              <w:autoSpaceDE/>
              <w:autoSpaceDN/>
              <w:bidi w:val="0"/>
              <w:adjustRightInd/>
              <w:snapToGrid/>
              <w:spacing w:line="480" w:lineRule="exact"/>
              <w:jc w:val="left"/>
              <w:textAlignment w:val="auto"/>
              <w:outlineLvl w:val="9"/>
              <w:rPr>
                <w:rFonts w:hint="eastAsia" w:ascii="仿宋_GB2312" w:hAnsi="仿宋_GB2312" w:eastAsia="仿宋_GB2312" w:cs="仿宋_GB2312"/>
                <w:color w:val="auto"/>
                <w:sz w:val="28"/>
                <w:szCs w:val="28"/>
                <w:vertAlign w:val="baseline"/>
                <w:lang w:eastAsia="zh-CN"/>
              </w:rPr>
            </w:pPr>
            <w:r>
              <w:rPr>
                <w:rFonts w:hint="eastAsia" w:ascii="仿宋_GB2312" w:hAnsi="仿宋_GB2312" w:eastAsia="仿宋_GB2312" w:cs="仿宋_GB2312"/>
                <w:color w:val="auto"/>
                <w:sz w:val="28"/>
                <w:szCs w:val="28"/>
                <w:vertAlign w:val="baseline"/>
                <w:lang w:eastAsia="zh-CN"/>
              </w:rPr>
              <w:t>《中华人民共和国环境保护法》(201</w:t>
            </w:r>
            <w:r>
              <w:rPr>
                <w:rFonts w:hint="eastAsia" w:ascii="仿宋_GB2312" w:hAnsi="仿宋_GB2312" w:eastAsia="仿宋_GB2312" w:cs="仿宋_GB2312"/>
                <w:color w:val="auto"/>
                <w:sz w:val="28"/>
                <w:szCs w:val="28"/>
                <w:vertAlign w:val="baseline"/>
                <w:lang w:val="en-US" w:eastAsia="zh-CN"/>
              </w:rPr>
              <w:t>5</w:t>
            </w:r>
            <w:r>
              <w:rPr>
                <w:rFonts w:hint="eastAsia" w:ascii="仿宋_GB2312" w:hAnsi="仿宋_GB2312" w:eastAsia="仿宋_GB2312" w:cs="仿宋_GB2312"/>
                <w:color w:val="auto"/>
                <w:sz w:val="28"/>
                <w:szCs w:val="28"/>
                <w:vertAlign w:val="baseline"/>
                <w:lang w:eastAsia="zh-CN"/>
              </w:rPr>
              <w:t>年</w:t>
            </w:r>
            <w:r>
              <w:rPr>
                <w:rFonts w:hint="eastAsia" w:ascii="仿宋_GB2312" w:hAnsi="仿宋_GB2312" w:eastAsia="仿宋_GB2312" w:cs="仿宋_GB2312"/>
                <w:color w:val="auto"/>
                <w:sz w:val="28"/>
                <w:szCs w:val="28"/>
                <w:vertAlign w:val="baseline"/>
                <w:lang w:val="en-US" w:eastAsia="zh-CN"/>
              </w:rPr>
              <w:t>1</w:t>
            </w:r>
            <w:r>
              <w:rPr>
                <w:rFonts w:hint="eastAsia" w:ascii="仿宋_GB2312" w:hAnsi="仿宋_GB2312" w:eastAsia="仿宋_GB2312" w:cs="仿宋_GB2312"/>
                <w:color w:val="auto"/>
                <w:sz w:val="28"/>
                <w:szCs w:val="28"/>
                <w:vertAlign w:val="baseline"/>
                <w:lang w:eastAsia="zh-CN"/>
              </w:rPr>
              <w:t>月</w:t>
            </w:r>
            <w:r>
              <w:rPr>
                <w:rFonts w:hint="eastAsia" w:ascii="仿宋_GB2312" w:hAnsi="仿宋_GB2312" w:eastAsia="仿宋_GB2312" w:cs="仿宋_GB2312"/>
                <w:color w:val="auto"/>
                <w:sz w:val="28"/>
                <w:szCs w:val="28"/>
                <w:vertAlign w:val="baseline"/>
                <w:lang w:val="en-US" w:eastAsia="zh-CN"/>
              </w:rPr>
              <w:t>1日</w:t>
            </w:r>
            <w:r>
              <w:rPr>
                <w:rFonts w:hint="eastAsia" w:ascii="仿宋_GB2312" w:hAnsi="仿宋_GB2312" w:eastAsia="仿宋_GB2312" w:cs="仿宋_GB2312"/>
                <w:color w:val="auto"/>
                <w:sz w:val="28"/>
                <w:szCs w:val="28"/>
                <w:vertAlign w:val="baseline"/>
                <w:lang w:eastAsia="zh-CN"/>
              </w:rPr>
              <w:t>)。</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仿宋_GB2312" w:hAnsi="仿宋_GB2312" w:eastAsia="仿宋_GB2312" w:cs="仿宋_GB2312"/>
                <w:color w:val="auto"/>
                <w:sz w:val="28"/>
                <w:szCs w:val="28"/>
                <w:vertAlign w:val="baseline"/>
                <w:lang w:eastAsia="zh-CN"/>
              </w:rPr>
            </w:pPr>
            <w:r>
              <w:rPr>
                <w:rFonts w:hint="eastAsia" w:ascii="仿宋_GB2312" w:hAnsi="仿宋_GB2312" w:eastAsia="仿宋_GB2312" w:cs="仿宋_GB2312"/>
                <w:color w:val="auto"/>
                <w:sz w:val="28"/>
                <w:szCs w:val="28"/>
                <w:vertAlign w:val="baseline"/>
                <w:lang w:val="en-US" w:eastAsia="zh-CN"/>
              </w:rPr>
              <w:t xml:space="preserve">(2) </w:t>
            </w:r>
            <w:r>
              <w:rPr>
                <w:rFonts w:hint="eastAsia" w:ascii="仿宋_GB2312" w:hAnsi="仿宋_GB2312" w:eastAsia="仿宋_GB2312" w:cs="仿宋_GB2312"/>
                <w:color w:val="auto"/>
                <w:sz w:val="28"/>
                <w:szCs w:val="28"/>
                <w:vertAlign w:val="baseline"/>
                <w:lang w:eastAsia="zh-CN"/>
              </w:rPr>
              <w:t>《建设项目环境保护管理条例》(第682号，2017年7月16日)。</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仿宋_GB2312" w:hAnsi="仿宋_GB2312" w:eastAsia="仿宋_GB2312" w:cs="仿宋_GB2312"/>
                <w:color w:val="auto"/>
                <w:sz w:val="28"/>
                <w:szCs w:val="28"/>
                <w:vertAlign w:val="baseline"/>
                <w:lang w:eastAsia="zh-CN"/>
              </w:rPr>
            </w:pPr>
            <w:r>
              <w:rPr>
                <w:rFonts w:hint="eastAsia" w:ascii="仿宋_GB2312" w:hAnsi="仿宋_GB2312" w:eastAsia="仿宋_GB2312" w:cs="仿宋_GB2312"/>
                <w:color w:val="auto"/>
                <w:sz w:val="28"/>
                <w:szCs w:val="28"/>
                <w:vertAlign w:val="baseline"/>
                <w:lang w:val="en-US" w:eastAsia="zh-CN"/>
              </w:rPr>
              <w:t xml:space="preserve">(3) </w:t>
            </w:r>
            <w:r>
              <w:rPr>
                <w:rFonts w:hint="eastAsia" w:ascii="仿宋_GB2312" w:hAnsi="仿宋_GB2312" w:eastAsia="仿宋_GB2312" w:cs="仿宋_GB2312"/>
                <w:color w:val="auto"/>
                <w:sz w:val="28"/>
                <w:szCs w:val="28"/>
                <w:vertAlign w:val="baseline"/>
                <w:lang w:eastAsia="zh-CN"/>
              </w:rPr>
              <w:t>《建设项目竣工环境保护验收暂行办法》（国环规环评（2017）4号，2017年11月20日）。</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仿宋_GB2312" w:hAnsi="仿宋_GB2312" w:eastAsia="仿宋_GB2312" w:cs="仿宋_GB2312"/>
                <w:color w:val="auto"/>
                <w:sz w:val="28"/>
                <w:szCs w:val="28"/>
                <w:vertAlign w:val="baseline"/>
                <w:lang w:eastAsia="zh-CN"/>
              </w:rPr>
            </w:pPr>
            <w:r>
              <w:rPr>
                <w:rFonts w:hint="eastAsia" w:ascii="仿宋_GB2312" w:hAnsi="仿宋_GB2312" w:eastAsia="仿宋_GB2312" w:cs="仿宋_GB2312"/>
                <w:color w:val="auto"/>
                <w:sz w:val="28"/>
                <w:szCs w:val="28"/>
                <w:vertAlign w:val="baseline"/>
                <w:lang w:eastAsia="zh-CN"/>
              </w:rPr>
              <w:t>(4) 《安徽省环境保护条例》（</w:t>
            </w:r>
            <w:r>
              <w:rPr>
                <w:rFonts w:hint="eastAsia" w:ascii="仿宋_GB2312" w:hAnsi="仿宋_GB2312" w:eastAsia="仿宋_GB2312" w:cs="仿宋_GB2312"/>
                <w:color w:val="auto"/>
                <w:sz w:val="28"/>
                <w:szCs w:val="28"/>
                <w:vertAlign w:val="baseline"/>
                <w:lang w:val="en-US" w:eastAsia="zh-CN"/>
              </w:rPr>
              <w:t>2018</w:t>
            </w:r>
            <w:r>
              <w:rPr>
                <w:rFonts w:hint="eastAsia" w:ascii="仿宋_GB2312" w:hAnsi="仿宋_GB2312" w:eastAsia="仿宋_GB2312" w:cs="仿宋_GB2312"/>
                <w:color w:val="auto"/>
                <w:sz w:val="28"/>
                <w:szCs w:val="28"/>
                <w:vertAlign w:val="baseline"/>
                <w:lang w:eastAsia="zh-CN"/>
              </w:rPr>
              <w:t>年1月1日起实施）。</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仿宋_GB2312" w:hAnsi="仿宋_GB2312" w:eastAsia="仿宋_GB2312" w:cs="仿宋_GB2312"/>
                <w:color w:val="auto"/>
                <w:sz w:val="28"/>
                <w:szCs w:val="28"/>
                <w:vertAlign w:val="baseline"/>
                <w:lang w:eastAsia="zh-CN"/>
              </w:rPr>
            </w:pPr>
            <w:r>
              <w:rPr>
                <w:rFonts w:hint="eastAsia" w:ascii="仿宋_GB2312" w:hAnsi="仿宋_GB2312" w:eastAsia="仿宋_GB2312" w:cs="仿宋_GB2312"/>
                <w:color w:val="auto"/>
                <w:sz w:val="28"/>
                <w:szCs w:val="28"/>
                <w:vertAlign w:val="baseline"/>
                <w:lang w:eastAsia="zh-CN"/>
              </w:rPr>
              <w:t>(5)《安徽省污染源排放口规范化整治管理办法》（环法函〔2005〕114号）。</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仿宋_GB2312" w:hAnsi="仿宋_GB2312" w:eastAsia="仿宋_GB2312" w:cs="仿宋_GB2312"/>
                <w:color w:val="auto"/>
                <w:sz w:val="28"/>
                <w:szCs w:val="28"/>
                <w:vertAlign w:val="baseline"/>
                <w:lang w:eastAsia="zh-CN"/>
              </w:rPr>
            </w:pPr>
            <w:r>
              <w:rPr>
                <w:rFonts w:hint="eastAsia" w:ascii="仿宋_GB2312" w:hAnsi="仿宋_GB2312" w:eastAsia="仿宋_GB2312" w:cs="仿宋_GB2312"/>
                <w:color w:val="auto"/>
                <w:sz w:val="28"/>
                <w:szCs w:val="28"/>
                <w:vertAlign w:val="baseline"/>
                <w:lang w:eastAsia="zh-CN"/>
              </w:rPr>
              <w:t>(</w:t>
            </w:r>
            <w:r>
              <w:rPr>
                <w:rFonts w:hint="eastAsia" w:ascii="仿宋_GB2312" w:hAnsi="仿宋_GB2312" w:eastAsia="仿宋_GB2312" w:cs="仿宋_GB2312"/>
                <w:color w:val="auto"/>
                <w:sz w:val="28"/>
                <w:szCs w:val="28"/>
                <w:vertAlign w:val="baseline"/>
                <w:lang w:val="en-US" w:eastAsia="zh-CN"/>
              </w:rPr>
              <w:t>6</w:t>
            </w:r>
            <w:r>
              <w:rPr>
                <w:rFonts w:hint="eastAsia" w:ascii="仿宋_GB2312" w:hAnsi="仿宋_GB2312" w:eastAsia="仿宋_GB2312" w:cs="仿宋_GB2312"/>
                <w:color w:val="auto"/>
                <w:sz w:val="28"/>
                <w:szCs w:val="28"/>
                <w:vertAlign w:val="baseline"/>
                <w:lang w:eastAsia="zh-CN"/>
              </w:rPr>
              <w:t>)</w:t>
            </w:r>
            <w:r>
              <w:rPr>
                <w:rFonts w:hint="eastAsia" w:ascii="仿宋_GB2312" w:hAnsi="仿宋_GB2312" w:eastAsia="仿宋_GB2312" w:cs="仿宋_GB2312"/>
                <w:color w:val="auto"/>
                <w:sz w:val="28"/>
                <w:szCs w:val="28"/>
                <w:vertAlign w:val="baseline"/>
                <w:lang w:val="en-US" w:eastAsia="zh-CN"/>
              </w:rPr>
              <w:t xml:space="preserve"> </w:t>
            </w:r>
            <w:r>
              <w:rPr>
                <w:rFonts w:hint="eastAsia" w:ascii="仿宋_GB2312" w:hAnsi="仿宋_GB2312" w:eastAsia="仿宋_GB2312" w:cs="仿宋_GB2312"/>
                <w:color w:val="auto"/>
                <w:sz w:val="28"/>
                <w:szCs w:val="28"/>
                <w:vertAlign w:val="baseline"/>
                <w:lang w:eastAsia="zh-CN"/>
              </w:rPr>
              <w:t>《明光市沪光建筑材料有限公司年产30万立方预拌砂浆、商品混凝土、15万立方PC预制构件项目环境影响报告表》（</w:t>
            </w:r>
            <w:r>
              <w:rPr>
                <w:rFonts w:hint="eastAsia" w:ascii="仿宋_GB2312" w:hAnsi="仿宋_GB2312" w:eastAsia="仿宋_GB2312" w:cs="仿宋_GB2312"/>
                <w:color w:val="auto"/>
                <w:sz w:val="28"/>
                <w:szCs w:val="28"/>
                <w:lang w:val="en-US" w:eastAsia="zh-CN"/>
              </w:rPr>
              <w:t>亳州市中环环境科技有限责任公司</w:t>
            </w:r>
            <w:r>
              <w:rPr>
                <w:rFonts w:hint="eastAsia" w:ascii="仿宋_GB2312" w:hAnsi="仿宋_GB2312" w:eastAsia="仿宋_GB2312" w:cs="仿宋_GB2312"/>
                <w:color w:val="auto"/>
                <w:sz w:val="28"/>
                <w:szCs w:val="28"/>
                <w:vertAlign w:val="baseline"/>
                <w:lang w:eastAsia="zh-CN"/>
              </w:rPr>
              <w:t>，201</w:t>
            </w:r>
            <w:r>
              <w:rPr>
                <w:rFonts w:hint="eastAsia" w:ascii="仿宋_GB2312" w:hAnsi="仿宋_GB2312" w:eastAsia="仿宋_GB2312" w:cs="仿宋_GB2312"/>
                <w:color w:val="auto"/>
                <w:sz w:val="28"/>
                <w:szCs w:val="28"/>
                <w:vertAlign w:val="baseline"/>
                <w:lang w:val="en-US" w:eastAsia="zh-CN"/>
              </w:rPr>
              <w:t>8</w:t>
            </w:r>
            <w:r>
              <w:rPr>
                <w:rFonts w:hint="eastAsia" w:ascii="仿宋_GB2312" w:hAnsi="仿宋_GB2312" w:eastAsia="仿宋_GB2312" w:cs="仿宋_GB2312"/>
                <w:color w:val="auto"/>
                <w:sz w:val="28"/>
                <w:szCs w:val="28"/>
                <w:vertAlign w:val="baseline"/>
                <w:lang w:eastAsia="zh-CN"/>
              </w:rPr>
              <w:t>年</w:t>
            </w:r>
            <w:r>
              <w:rPr>
                <w:rFonts w:hint="eastAsia" w:ascii="仿宋_GB2312" w:hAnsi="仿宋_GB2312" w:eastAsia="仿宋_GB2312" w:cs="仿宋_GB2312"/>
                <w:color w:val="auto"/>
                <w:sz w:val="28"/>
                <w:szCs w:val="28"/>
                <w:vertAlign w:val="baseline"/>
                <w:lang w:val="en-US" w:eastAsia="zh-CN"/>
              </w:rPr>
              <w:t>2</w:t>
            </w:r>
            <w:r>
              <w:rPr>
                <w:rFonts w:hint="eastAsia" w:ascii="仿宋_GB2312" w:hAnsi="仿宋_GB2312" w:eastAsia="仿宋_GB2312" w:cs="仿宋_GB2312"/>
                <w:color w:val="auto"/>
                <w:sz w:val="28"/>
                <w:szCs w:val="28"/>
                <w:vertAlign w:val="baseline"/>
                <w:lang w:eastAsia="zh-CN"/>
              </w:rPr>
              <w:t>月）。</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仿宋_GB2312" w:hAnsi="仿宋_GB2312" w:eastAsia="仿宋_GB2312" w:cs="仿宋_GB2312"/>
                <w:color w:val="auto"/>
                <w:sz w:val="28"/>
                <w:szCs w:val="28"/>
                <w:vertAlign w:val="baseline"/>
                <w:lang w:eastAsia="zh-CN"/>
              </w:rPr>
            </w:pPr>
            <w:r>
              <w:rPr>
                <w:rFonts w:hint="eastAsia" w:ascii="仿宋_GB2312" w:hAnsi="仿宋_GB2312" w:eastAsia="仿宋_GB2312" w:cs="仿宋_GB2312"/>
                <w:color w:val="auto"/>
                <w:sz w:val="28"/>
                <w:szCs w:val="28"/>
                <w:vertAlign w:val="baseline"/>
                <w:lang w:eastAsia="zh-CN"/>
              </w:rPr>
              <w:t>(</w:t>
            </w:r>
            <w:r>
              <w:rPr>
                <w:rFonts w:hint="eastAsia" w:ascii="仿宋_GB2312" w:hAnsi="仿宋_GB2312" w:eastAsia="仿宋_GB2312" w:cs="仿宋_GB2312"/>
                <w:color w:val="auto"/>
                <w:sz w:val="28"/>
                <w:szCs w:val="28"/>
                <w:vertAlign w:val="baseline"/>
                <w:lang w:val="en-US" w:eastAsia="zh-CN"/>
              </w:rPr>
              <w:t>7</w:t>
            </w:r>
            <w:r>
              <w:rPr>
                <w:rFonts w:hint="eastAsia" w:ascii="仿宋_GB2312" w:hAnsi="仿宋_GB2312" w:eastAsia="仿宋_GB2312" w:cs="仿宋_GB2312"/>
                <w:color w:val="auto"/>
                <w:sz w:val="28"/>
                <w:szCs w:val="28"/>
                <w:vertAlign w:val="baseline"/>
                <w:lang w:eastAsia="zh-CN"/>
              </w:rPr>
              <w:t>)</w:t>
            </w:r>
            <w:r>
              <w:rPr>
                <w:rFonts w:hint="eastAsia" w:ascii="仿宋_GB2312" w:hAnsi="仿宋_GB2312" w:eastAsia="仿宋_GB2312" w:cs="仿宋_GB2312"/>
                <w:color w:val="auto"/>
                <w:sz w:val="28"/>
                <w:szCs w:val="28"/>
                <w:vertAlign w:val="baseline"/>
                <w:lang w:val="en-US" w:eastAsia="zh-CN"/>
              </w:rPr>
              <w:t xml:space="preserve"> </w:t>
            </w:r>
            <w:r>
              <w:rPr>
                <w:rFonts w:hint="eastAsia" w:ascii="仿宋_GB2312" w:hAnsi="仿宋_GB2312" w:eastAsia="仿宋_GB2312" w:cs="仿宋_GB2312"/>
                <w:color w:val="auto"/>
                <w:sz w:val="28"/>
                <w:szCs w:val="28"/>
                <w:vertAlign w:val="baseline"/>
                <w:lang w:eastAsia="zh-CN"/>
              </w:rPr>
              <w:t>《关于明光市沪光建筑材料有限公司 年产30万立方预拌砂浆、商品混凝土、15万立方PC预制构件项目环境影响报告表的批复》（</w:t>
            </w:r>
            <w:r>
              <w:rPr>
                <w:rFonts w:hint="eastAsia" w:ascii="仿宋_GB2312" w:hAnsi="仿宋_GB2312" w:eastAsia="仿宋_GB2312" w:cs="仿宋_GB2312"/>
                <w:color w:val="auto"/>
                <w:sz w:val="28"/>
                <w:szCs w:val="28"/>
                <w:vertAlign w:val="baseline"/>
                <w:lang w:val="en-US" w:eastAsia="zh-CN"/>
              </w:rPr>
              <w:t>明环评〔2018〕8号</w:t>
            </w:r>
            <w:r>
              <w:rPr>
                <w:rFonts w:hint="eastAsia" w:ascii="仿宋_GB2312" w:hAnsi="仿宋_GB2312" w:eastAsia="仿宋_GB2312" w:cs="仿宋_GB2312"/>
                <w:color w:val="auto"/>
                <w:sz w:val="28"/>
                <w:szCs w:val="28"/>
                <w:vertAlign w:val="baseline"/>
                <w:lang w:eastAsia="zh-CN"/>
              </w:rPr>
              <w:t>，</w:t>
            </w:r>
            <w:r>
              <w:rPr>
                <w:rFonts w:hint="eastAsia" w:ascii="仿宋_GB2312" w:hAnsi="仿宋_GB2312" w:eastAsia="仿宋_GB2312" w:cs="仿宋_GB2312"/>
                <w:color w:val="auto"/>
                <w:sz w:val="28"/>
                <w:szCs w:val="28"/>
                <w:lang w:val="en-US" w:eastAsia="zh-CN"/>
              </w:rPr>
              <w:t>明光市生态环境分局</w:t>
            </w:r>
            <w:r>
              <w:rPr>
                <w:rFonts w:hint="eastAsia" w:ascii="仿宋_GB2312" w:hAnsi="仿宋_GB2312" w:eastAsia="仿宋_GB2312" w:cs="仿宋_GB2312"/>
                <w:color w:val="auto"/>
                <w:sz w:val="28"/>
                <w:szCs w:val="28"/>
                <w:vertAlign w:val="baseline"/>
                <w:lang w:eastAsia="zh-CN"/>
              </w:rPr>
              <w:t>，2018年3月2日）。</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仿宋_GB2312" w:hAnsi="仿宋_GB2312" w:eastAsia="仿宋_GB2312" w:cs="仿宋_GB2312"/>
                <w:color w:val="auto"/>
                <w:sz w:val="28"/>
                <w:szCs w:val="28"/>
                <w:vertAlign w:val="baseline"/>
                <w:lang w:eastAsia="zh-CN"/>
              </w:rPr>
            </w:pPr>
            <w:r>
              <w:rPr>
                <w:rFonts w:hint="eastAsia" w:ascii="仿宋_GB2312" w:hAnsi="仿宋_GB2312" w:eastAsia="仿宋_GB2312" w:cs="仿宋_GB2312"/>
                <w:color w:val="auto"/>
                <w:sz w:val="28"/>
                <w:szCs w:val="28"/>
                <w:vertAlign w:val="baseline"/>
                <w:lang w:eastAsia="zh-CN"/>
              </w:rPr>
              <w:t>(</w:t>
            </w:r>
            <w:r>
              <w:rPr>
                <w:rFonts w:hint="eastAsia" w:ascii="仿宋_GB2312" w:hAnsi="仿宋_GB2312" w:eastAsia="仿宋_GB2312" w:cs="仿宋_GB2312"/>
                <w:color w:val="auto"/>
                <w:sz w:val="28"/>
                <w:szCs w:val="28"/>
                <w:vertAlign w:val="baseline"/>
                <w:lang w:val="en-US" w:eastAsia="zh-CN"/>
              </w:rPr>
              <w:t>8</w:t>
            </w:r>
            <w:r>
              <w:rPr>
                <w:rFonts w:hint="eastAsia" w:ascii="仿宋_GB2312" w:hAnsi="仿宋_GB2312" w:eastAsia="仿宋_GB2312" w:cs="仿宋_GB2312"/>
                <w:color w:val="auto"/>
                <w:sz w:val="28"/>
                <w:szCs w:val="28"/>
                <w:vertAlign w:val="baseline"/>
                <w:lang w:eastAsia="zh-CN"/>
              </w:rPr>
              <w:t>)《建设项目竣工环境保护验收技术指南 污染影响类》（生态环境部 2018年第9号公告，生态环境部办公厅，201</w:t>
            </w:r>
            <w:r>
              <w:rPr>
                <w:rFonts w:hint="eastAsia" w:ascii="仿宋_GB2312" w:hAnsi="仿宋_GB2312" w:eastAsia="仿宋_GB2312" w:cs="仿宋_GB2312"/>
                <w:color w:val="auto"/>
                <w:sz w:val="28"/>
                <w:szCs w:val="28"/>
                <w:vertAlign w:val="baseline"/>
                <w:lang w:val="en-US" w:eastAsia="zh-CN"/>
              </w:rPr>
              <w:t>8</w:t>
            </w:r>
            <w:r>
              <w:rPr>
                <w:rFonts w:hint="eastAsia" w:ascii="仿宋_GB2312" w:hAnsi="仿宋_GB2312" w:eastAsia="仿宋_GB2312" w:cs="仿宋_GB2312"/>
                <w:color w:val="auto"/>
                <w:sz w:val="28"/>
                <w:szCs w:val="28"/>
                <w:vertAlign w:val="baseline"/>
                <w:lang w:eastAsia="zh-CN"/>
              </w:rPr>
              <w:t>年</w:t>
            </w:r>
            <w:r>
              <w:rPr>
                <w:rFonts w:hint="eastAsia" w:ascii="仿宋_GB2312" w:hAnsi="仿宋_GB2312" w:eastAsia="仿宋_GB2312" w:cs="仿宋_GB2312"/>
                <w:color w:val="auto"/>
                <w:sz w:val="28"/>
                <w:szCs w:val="28"/>
                <w:vertAlign w:val="baseline"/>
                <w:lang w:val="en-US" w:eastAsia="zh-CN"/>
              </w:rPr>
              <w:t>5</w:t>
            </w:r>
            <w:r>
              <w:rPr>
                <w:rFonts w:hint="eastAsia" w:ascii="仿宋_GB2312" w:hAnsi="仿宋_GB2312" w:eastAsia="仿宋_GB2312" w:cs="仿宋_GB2312"/>
                <w:color w:val="auto"/>
                <w:sz w:val="28"/>
                <w:szCs w:val="28"/>
                <w:vertAlign w:val="baseline"/>
                <w:lang w:eastAsia="zh-CN"/>
              </w:rPr>
              <w:t>月</w:t>
            </w:r>
            <w:r>
              <w:rPr>
                <w:rFonts w:hint="eastAsia" w:ascii="仿宋_GB2312" w:hAnsi="仿宋_GB2312" w:eastAsia="仿宋_GB2312" w:cs="仿宋_GB2312"/>
                <w:color w:val="auto"/>
                <w:sz w:val="28"/>
                <w:szCs w:val="28"/>
                <w:vertAlign w:val="baseline"/>
                <w:lang w:val="en-US" w:eastAsia="zh-CN"/>
              </w:rPr>
              <w:t>15</w:t>
            </w:r>
            <w:r>
              <w:rPr>
                <w:rFonts w:hint="eastAsia" w:ascii="仿宋_GB2312" w:hAnsi="仿宋_GB2312" w:eastAsia="仿宋_GB2312" w:cs="仿宋_GB2312"/>
                <w:color w:val="auto"/>
                <w:sz w:val="28"/>
                <w:szCs w:val="28"/>
                <w:vertAlign w:val="baseline"/>
                <w:lang w:eastAsia="zh-CN"/>
              </w:rPr>
              <w:t>日）。</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default" w:ascii="仿宋_GB2312" w:hAnsi="仿宋_GB2312" w:eastAsia="仿宋_GB2312" w:cs="仿宋_GB2312"/>
                <w:color w:val="auto"/>
                <w:sz w:val="28"/>
                <w:szCs w:val="28"/>
                <w:vertAlign w:val="baseline"/>
                <w:lang w:val="en-US" w:eastAsia="zh-CN"/>
              </w:rPr>
            </w:pPr>
            <w:r>
              <w:rPr>
                <w:rFonts w:hint="eastAsia" w:ascii="仿宋_GB2312" w:hAnsi="仿宋_GB2312" w:eastAsia="仿宋_GB2312" w:cs="仿宋_GB2312"/>
                <w:color w:val="auto"/>
                <w:sz w:val="28"/>
                <w:szCs w:val="28"/>
                <w:vertAlign w:val="baseline"/>
                <w:lang w:val="en-US" w:eastAsia="zh-CN"/>
              </w:rPr>
              <w:t>(9)《产业结构调整指导目录》（国家发展改革委，2011年3月27日发布，2013年2月16日修正）。</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eastAsia="仿宋_GB2312" w:cs="Times New Roman"/>
                <w:color w:val="auto"/>
                <w:sz w:val="28"/>
                <w:szCs w:val="28"/>
                <w:lang w:val="en-US" w:eastAsia="zh-CN"/>
              </w:rPr>
            </w:pPr>
            <w:r>
              <w:rPr>
                <w:rFonts w:hint="eastAsia" w:ascii="仿宋_GB2312" w:hAnsi="仿宋_GB2312" w:eastAsia="仿宋_GB2312" w:cs="仿宋_GB2312"/>
                <w:color w:val="auto"/>
                <w:sz w:val="28"/>
                <w:szCs w:val="28"/>
                <w:vertAlign w:val="baseline"/>
                <w:lang w:val="en-US" w:eastAsia="zh-CN"/>
              </w:rPr>
              <w:t>(10)《关于进一步规范建设项目环境影响评价文件审批服务工作的通知》（滁环评函〔2017〕75号）。</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eastAsia="仿宋_GB2312" w:cs="Times New Roman"/>
                <w:color w:val="auto"/>
                <w:sz w:val="28"/>
                <w:szCs w:val="28"/>
                <w:lang w:val="en-US" w:eastAsia="zh-CN"/>
              </w:rPr>
            </w:pPr>
            <w:r>
              <w:rPr>
                <w:rFonts w:hint="eastAsia" w:ascii="仿宋_GB2312" w:hAnsi="仿宋_GB2312" w:eastAsia="仿宋_GB2312" w:cs="仿宋_GB2312"/>
                <w:color w:val="auto"/>
                <w:sz w:val="28"/>
                <w:szCs w:val="28"/>
                <w:vertAlign w:val="baseline"/>
                <w:lang w:eastAsia="zh-CN"/>
              </w:rPr>
              <w:t>(</w:t>
            </w:r>
            <w:r>
              <w:rPr>
                <w:rFonts w:hint="eastAsia" w:ascii="仿宋_GB2312" w:hAnsi="仿宋_GB2312" w:eastAsia="仿宋_GB2312" w:cs="仿宋_GB2312"/>
                <w:color w:val="auto"/>
                <w:sz w:val="28"/>
                <w:szCs w:val="28"/>
                <w:vertAlign w:val="baseline"/>
                <w:lang w:val="en-US" w:eastAsia="zh-CN"/>
              </w:rPr>
              <w:t>11</w:t>
            </w:r>
            <w:r>
              <w:rPr>
                <w:rFonts w:hint="eastAsia" w:ascii="仿宋_GB2312" w:hAnsi="仿宋_GB2312" w:eastAsia="仿宋_GB2312" w:cs="仿宋_GB2312"/>
                <w:color w:val="auto"/>
                <w:sz w:val="28"/>
                <w:szCs w:val="28"/>
                <w:vertAlign w:val="baseline"/>
                <w:lang w:eastAsia="zh-CN"/>
              </w:rPr>
              <w:t>)</w:t>
            </w:r>
            <w:r>
              <w:rPr>
                <w:rFonts w:hint="eastAsia" w:ascii="仿宋_GB2312" w:hAnsi="仿宋_GB2312" w:eastAsia="仿宋_GB2312" w:cs="仿宋_GB2312"/>
                <w:color w:val="auto"/>
                <w:sz w:val="28"/>
                <w:szCs w:val="28"/>
                <w:vertAlign w:val="baseline"/>
                <w:lang w:val="en-US" w:eastAsia="zh-CN"/>
              </w:rPr>
              <w:t>《关于印发污染影响类建设项目重大变动清单的通知》（生态环境部办公厅文件，环办环评函〔2020〕688号）</w:t>
            </w:r>
            <w:r>
              <w:rPr>
                <w:rFonts w:hint="eastAsia" w:eastAsia="仿宋_GB2312" w:cs="Times New Roman"/>
                <w:color w:val="auto"/>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仿宋_GB2312" w:hAnsi="仿宋_GB2312" w:eastAsia="仿宋_GB2312" w:cs="仿宋_GB2312"/>
                <w:color w:val="auto"/>
                <w:sz w:val="28"/>
                <w:szCs w:val="28"/>
                <w:vertAlign w:val="baseline"/>
                <w:lang w:eastAsia="zh-CN"/>
              </w:rPr>
            </w:pPr>
            <w:r>
              <w:rPr>
                <w:rFonts w:hint="eastAsia" w:ascii="仿宋_GB2312" w:hAnsi="仿宋_GB2312" w:eastAsia="仿宋_GB2312" w:cs="仿宋_GB2312"/>
                <w:color w:val="auto"/>
                <w:sz w:val="28"/>
                <w:szCs w:val="28"/>
                <w:vertAlign w:val="baseline"/>
                <w:lang w:eastAsia="zh-CN"/>
              </w:rPr>
              <w:t>(</w:t>
            </w:r>
            <w:r>
              <w:rPr>
                <w:rFonts w:hint="eastAsia" w:ascii="仿宋_GB2312" w:hAnsi="仿宋_GB2312" w:eastAsia="仿宋_GB2312" w:cs="仿宋_GB2312"/>
                <w:color w:val="auto"/>
                <w:sz w:val="28"/>
                <w:szCs w:val="28"/>
                <w:vertAlign w:val="baseline"/>
                <w:lang w:val="en-US" w:eastAsia="zh-CN"/>
              </w:rPr>
              <w:t>12</w:t>
            </w:r>
            <w:r>
              <w:rPr>
                <w:rFonts w:hint="eastAsia" w:ascii="仿宋_GB2312" w:hAnsi="仿宋_GB2312" w:eastAsia="仿宋_GB2312" w:cs="仿宋_GB2312"/>
                <w:color w:val="auto"/>
                <w:sz w:val="28"/>
                <w:szCs w:val="28"/>
                <w:vertAlign w:val="baseline"/>
                <w:lang w:eastAsia="zh-CN"/>
              </w:rPr>
              <w:t>)明光市沪光建筑材料有限公司竣工验收监测委托书。</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仿宋_GB2312" w:hAnsi="仿宋_GB2312" w:eastAsia="仿宋_GB2312" w:cs="仿宋_GB2312"/>
                <w:color w:val="auto"/>
                <w:sz w:val="28"/>
                <w:szCs w:val="28"/>
                <w:vertAlign w:val="baseline"/>
              </w:rPr>
            </w:pPr>
            <w:r>
              <w:rPr>
                <w:rFonts w:hint="eastAsia" w:ascii="仿宋_GB2312" w:hAnsi="仿宋_GB2312" w:eastAsia="仿宋_GB2312" w:cs="仿宋_GB2312"/>
                <w:color w:val="auto"/>
                <w:sz w:val="28"/>
                <w:szCs w:val="28"/>
                <w:vertAlign w:val="baseline"/>
                <w:lang w:eastAsia="zh-CN"/>
              </w:rPr>
              <w:t>(1</w:t>
            </w:r>
            <w:r>
              <w:rPr>
                <w:rFonts w:hint="eastAsia" w:ascii="仿宋_GB2312" w:hAnsi="仿宋_GB2312" w:eastAsia="仿宋_GB2312" w:cs="仿宋_GB2312"/>
                <w:color w:val="auto"/>
                <w:sz w:val="28"/>
                <w:szCs w:val="28"/>
                <w:vertAlign w:val="baseline"/>
                <w:lang w:val="en-US" w:eastAsia="zh-CN"/>
              </w:rPr>
              <w:t>3</w:t>
            </w:r>
            <w:r>
              <w:rPr>
                <w:rFonts w:hint="eastAsia" w:ascii="仿宋_GB2312" w:hAnsi="仿宋_GB2312" w:eastAsia="仿宋_GB2312" w:cs="仿宋_GB2312"/>
                <w:color w:val="auto"/>
                <w:sz w:val="28"/>
                <w:szCs w:val="28"/>
                <w:vertAlign w:val="baseline"/>
                <w:lang w:eastAsia="zh-CN"/>
              </w:rPr>
              <w:t>)明光市沪光建筑材料有限公司提供的其它有关资料。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outlineLvl w:val="9"/>
              <w:rPr>
                <w:rFonts w:hint="eastAsia" w:ascii="仿宋_GB2312" w:hAnsi="仿宋_GB2312" w:eastAsia="仿宋_GB2312" w:cs="仿宋_GB2312"/>
                <w:b/>
                <w:bCs/>
                <w:color w:val="auto"/>
                <w:sz w:val="28"/>
                <w:szCs w:val="28"/>
                <w:vertAlign w:val="baseline"/>
                <w:lang w:eastAsia="zh-CN"/>
              </w:rPr>
            </w:pPr>
            <w:r>
              <w:rPr>
                <w:rFonts w:hint="eastAsia" w:ascii="仿宋_GB2312" w:hAnsi="仿宋_GB2312" w:eastAsia="仿宋_GB2312" w:cs="仿宋_GB2312"/>
                <w:b/>
                <w:bCs/>
                <w:color w:val="auto"/>
                <w:sz w:val="28"/>
                <w:szCs w:val="28"/>
                <w:vertAlign w:val="baseline"/>
                <w:lang w:eastAsia="zh-CN"/>
              </w:rPr>
              <w:t>验收监测评价标准、标号、级别、限值：</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b/>
                <w:bCs/>
                <w:color w:val="auto"/>
                <w:sz w:val="28"/>
                <w:szCs w:val="28"/>
                <w:vertAlign w:val="baseline"/>
                <w:lang w:eastAsia="zh-CN"/>
              </w:rPr>
            </w:pPr>
          </w:p>
        </w:tc>
        <w:tc>
          <w:tcPr>
            <w:tcW w:w="7712" w:type="dxa"/>
            <w:gridSpan w:val="5"/>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480" w:lineRule="exact"/>
              <w:ind w:left="0" w:right="0" w:firstLine="560" w:firstLineChars="200"/>
              <w:jc w:val="left"/>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1、废水污染物排放标准</w:t>
            </w:r>
          </w:p>
          <w:p>
            <w:pPr>
              <w:pStyle w:val="30"/>
              <w:keepNext w:val="0"/>
              <w:keepLines w:val="0"/>
              <w:pageBreakBefore w:val="0"/>
              <w:widowControl w:val="0"/>
              <w:kinsoku/>
              <w:wordWrap/>
              <w:overflowPunct/>
              <w:topLinePunct w:val="0"/>
              <w:autoSpaceDE/>
              <w:autoSpaceDN/>
              <w:bidi w:val="0"/>
              <w:adjustRightInd/>
              <w:snapToGrid/>
              <w:spacing w:line="480" w:lineRule="exact"/>
              <w:ind w:left="0" w:right="0"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本项目生活污水经化粪池处理后用作农田灌溉，不外排。</w:t>
            </w:r>
          </w:p>
          <w:p>
            <w:pPr>
              <w:pStyle w:val="30"/>
              <w:keepNext w:val="0"/>
              <w:keepLines w:val="0"/>
              <w:pageBreakBefore w:val="0"/>
              <w:widowControl w:val="0"/>
              <w:kinsoku/>
              <w:wordWrap/>
              <w:overflowPunct/>
              <w:topLinePunct w:val="0"/>
              <w:autoSpaceDE/>
              <w:autoSpaceDN/>
              <w:bidi w:val="0"/>
              <w:adjustRightInd/>
              <w:snapToGrid/>
              <w:spacing w:line="480" w:lineRule="exact"/>
              <w:ind w:left="0" w:right="0" w:firstLine="560" w:firstLineChars="200"/>
              <w:jc w:val="left"/>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2、大气污染物排放标准</w:t>
            </w:r>
          </w:p>
          <w:p>
            <w:pPr>
              <w:pStyle w:val="30"/>
              <w:keepNext w:val="0"/>
              <w:keepLines w:val="0"/>
              <w:pageBreakBefore w:val="0"/>
              <w:widowControl w:val="0"/>
              <w:kinsoku/>
              <w:wordWrap/>
              <w:overflowPunct/>
              <w:topLinePunct w:val="0"/>
              <w:autoSpaceDE/>
              <w:autoSpaceDN/>
              <w:bidi w:val="0"/>
              <w:adjustRightInd/>
              <w:snapToGrid/>
              <w:spacing w:line="480" w:lineRule="exact"/>
              <w:ind w:left="0" w:right="0" w:firstLine="560" w:firstLineChars="200"/>
              <w:jc w:val="left"/>
              <w:textAlignment w:val="auto"/>
              <w:rPr>
                <w:sz w:val="24"/>
              </w:rPr>
            </w:pPr>
            <w:r>
              <w:rPr>
                <w:rFonts w:hint="eastAsia" w:ascii="仿宋_GB2312" w:hAnsi="仿宋_GB2312" w:eastAsia="仿宋_GB2312" w:cs="仿宋_GB2312"/>
                <w:sz w:val="28"/>
                <w:szCs w:val="28"/>
              </w:rPr>
              <w:t xml:space="preserve">项目废气（颗粒物）执行水泥仓及其它通风生产设备所产生的废气执行《水泥工业大气污染物排放标准》（GB4915-2013）详见表 </w:t>
            </w:r>
            <w:r>
              <w:rPr>
                <w:rFonts w:hint="eastAsia" w:ascii="仿宋_GB2312" w:hAnsi="仿宋_GB2312" w:eastAsia="仿宋_GB2312" w:cs="仿宋_GB2312"/>
                <w:sz w:val="28"/>
                <w:szCs w:val="28"/>
                <w:lang w:val="en-US" w:eastAsia="zh-CN"/>
              </w:rPr>
              <w:t>1-1</w:t>
            </w:r>
            <w:r>
              <w:rPr>
                <w:rFonts w:hint="eastAsia" w:ascii="仿宋_GB2312" w:hAnsi="仿宋_GB2312" w:eastAsia="仿宋_GB2312" w:cs="仿宋_GB2312"/>
                <w:sz w:val="28"/>
                <w:szCs w:val="28"/>
              </w:rPr>
              <w:t>。</w:t>
            </w:r>
          </w:p>
          <w:p>
            <w:pPr>
              <w:pStyle w:val="30"/>
              <w:tabs>
                <w:tab w:val="left" w:pos="3579"/>
              </w:tabs>
              <w:spacing w:before="28"/>
              <w:ind w:left="51"/>
              <w:jc w:val="center"/>
              <w:rPr>
                <w:rFonts w:ascii="黑体"/>
                <w:sz w:val="28"/>
                <w:szCs w:val="28"/>
              </w:rPr>
            </w:pPr>
            <w:r>
              <w:rPr>
                <w:rFonts w:hint="eastAsia" w:ascii="仿宋_GB2312" w:hAnsi="仿宋_GB2312" w:eastAsia="仿宋_GB2312" w:cs="仿宋_GB2312"/>
                <w:b/>
                <w:sz w:val="28"/>
                <w:szCs w:val="28"/>
              </w:rPr>
              <w:t>表</w:t>
            </w:r>
            <w:r>
              <w:rPr>
                <w:rFonts w:hint="eastAsia" w:ascii="仿宋_GB2312" w:hAnsi="仿宋_GB2312" w:eastAsia="仿宋_GB2312" w:cs="仿宋_GB2312"/>
                <w:b/>
                <w:spacing w:val="-56"/>
                <w:sz w:val="28"/>
                <w:szCs w:val="28"/>
              </w:rPr>
              <w:t xml:space="preserve"> </w:t>
            </w:r>
            <w:r>
              <w:rPr>
                <w:rFonts w:hint="eastAsia" w:ascii="仿宋_GB2312" w:hAnsi="仿宋_GB2312" w:eastAsia="仿宋_GB2312" w:cs="仿宋_GB2312"/>
                <w:b/>
                <w:sz w:val="28"/>
                <w:szCs w:val="28"/>
                <w:lang w:val="en-US" w:eastAsia="zh-CN"/>
              </w:rPr>
              <w:t>1-1</w:t>
            </w:r>
            <w:r>
              <w:rPr>
                <w:rFonts w:hint="eastAsia" w:ascii="仿宋_GB2312" w:hAnsi="仿宋_GB2312" w:eastAsia="仿宋_GB2312" w:cs="仿宋_GB2312"/>
                <w:b/>
                <w:spacing w:val="49"/>
                <w:sz w:val="28"/>
                <w:szCs w:val="28"/>
              </w:rPr>
              <w:t xml:space="preserve"> </w:t>
            </w:r>
            <w:r>
              <w:rPr>
                <w:rFonts w:hint="eastAsia" w:ascii="仿宋_GB2312" w:hAnsi="仿宋_GB2312" w:eastAsia="仿宋_GB2312" w:cs="仿宋_GB2312"/>
                <w:b/>
                <w:sz w:val="28"/>
                <w:szCs w:val="28"/>
              </w:rPr>
              <w:t>水泥工业大气污染物排放标准</w:t>
            </w:r>
            <w:r>
              <w:rPr>
                <w:rFonts w:hint="eastAsia" w:ascii="仿宋_GB2312" w:hAnsi="仿宋_GB2312" w:eastAsia="仿宋_GB2312" w:cs="仿宋_GB2312"/>
                <w:b/>
                <w:sz w:val="28"/>
                <w:szCs w:val="28"/>
              </w:rPr>
              <w:tab/>
            </w:r>
            <w:r>
              <w:rPr>
                <w:rFonts w:hint="eastAsia" w:ascii="仿宋_GB2312" w:hAnsi="仿宋_GB2312" w:eastAsia="仿宋_GB2312" w:cs="仿宋_GB2312"/>
                <w:b/>
                <w:sz w:val="28"/>
                <w:szCs w:val="28"/>
              </w:rPr>
              <w:t>单位：</w:t>
            </w:r>
            <w:r>
              <w:rPr>
                <w:rFonts w:hint="default" w:ascii="Times New Roman" w:hAnsi="Times New Roman" w:eastAsia="仿宋_GB2312" w:cs="Times New Roman"/>
                <w:b/>
                <w:sz w:val="28"/>
                <w:szCs w:val="28"/>
              </w:rPr>
              <w:t>mg/m</w:t>
            </w:r>
            <w:r>
              <w:rPr>
                <w:rStyle w:val="37"/>
                <w:rFonts w:hint="default" w:ascii="Times New Roman" w:hAnsi="Times New Roman" w:cs="Times New Roman"/>
                <w:vertAlign w:val="superscript"/>
              </w:rPr>
              <w:t>3</w:t>
            </w:r>
          </w:p>
          <w:tbl>
            <w:tblPr>
              <w:tblStyle w:val="16"/>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896"/>
              <w:gridCol w:w="1935"/>
              <w:gridCol w:w="2820"/>
              <w:gridCol w:w="18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039" w:type="dxa"/>
                  <w:vMerge w:val="restart"/>
                  <w:tcBorders>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污染物</w:t>
                  </w:r>
                </w:p>
              </w:tc>
              <w:tc>
                <w:tcPr>
                  <w:tcW w:w="2142" w:type="dxa"/>
                  <w:vMerge w:val="restart"/>
                  <w:tcBorders>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最高允许排放浓度</w:t>
                  </w:r>
                </w:p>
                <w:p>
                  <w:pPr>
                    <w:pStyle w:val="3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（mg/m</w:t>
                  </w:r>
                  <w:r>
                    <w:rPr>
                      <w:rFonts w:hint="eastAsia" w:ascii="仿宋_GB2312" w:hAnsi="仿宋_GB2312" w:eastAsia="仿宋_GB2312" w:cs="仿宋_GB2312"/>
                      <w:position w:val="7"/>
                      <w:sz w:val="21"/>
                      <w:szCs w:val="21"/>
                    </w:rPr>
                    <w:t>3</w:t>
                  </w:r>
                  <w:r>
                    <w:rPr>
                      <w:rFonts w:hint="eastAsia" w:ascii="仿宋_GB2312" w:hAnsi="仿宋_GB2312" w:eastAsia="仿宋_GB2312" w:cs="仿宋_GB2312"/>
                      <w:sz w:val="21"/>
                      <w:szCs w:val="21"/>
                    </w:rPr>
                    <w:t>）</w:t>
                  </w:r>
                </w:p>
              </w:tc>
              <w:tc>
                <w:tcPr>
                  <w:tcW w:w="5335" w:type="dxa"/>
                  <w:gridSpan w:val="2"/>
                  <w:tcBorders>
                    <w:left w:val="single" w:color="000000" w:sz="4" w:space="0"/>
                    <w:bottom w:val="single" w:color="000000" w:sz="4" w:space="0"/>
                  </w:tcBorders>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无组织排放监控浓度限制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039" w:type="dxa"/>
                  <w:vMerge w:val="continue"/>
                  <w:tcBorders>
                    <w:top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_GB2312" w:hAnsi="仿宋_GB2312" w:eastAsia="仿宋_GB2312" w:cs="仿宋_GB2312"/>
                      <w:sz w:val="21"/>
                      <w:szCs w:val="21"/>
                    </w:rPr>
                  </w:pPr>
                </w:p>
              </w:tc>
              <w:tc>
                <w:tcPr>
                  <w:tcW w:w="2142"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_GB2312" w:hAnsi="仿宋_GB2312" w:eastAsia="仿宋_GB2312" w:cs="仿宋_GB2312"/>
                      <w:sz w:val="21"/>
                      <w:szCs w:val="21"/>
                    </w:rPr>
                  </w:pPr>
                </w:p>
              </w:tc>
              <w:tc>
                <w:tcPr>
                  <w:tcW w:w="3328"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监控点</w:t>
                  </w:r>
                </w:p>
              </w:tc>
              <w:tc>
                <w:tcPr>
                  <w:tcW w:w="2007" w:type="dxa"/>
                  <w:tcBorders>
                    <w:top w:val="single" w:color="000000" w:sz="4" w:space="0"/>
                    <w:left w:val="single" w:color="000000" w:sz="4" w:space="0"/>
                    <w:bottom w:val="single" w:color="000000" w:sz="4" w:space="0"/>
                  </w:tcBorders>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浓度（mg/m</w:t>
                  </w:r>
                  <w:r>
                    <w:rPr>
                      <w:rFonts w:hint="eastAsia" w:ascii="仿宋_GB2312" w:hAnsi="仿宋_GB2312" w:eastAsia="仿宋_GB2312" w:cs="仿宋_GB2312"/>
                      <w:position w:val="7"/>
                      <w:sz w:val="21"/>
                      <w:szCs w:val="21"/>
                    </w:rPr>
                    <w:t>3</w:t>
                  </w:r>
                  <w:r>
                    <w:rPr>
                      <w:rFonts w:hint="eastAsia" w:ascii="仿宋_GB2312" w:hAnsi="仿宋_GB2312" w:eastAsia="仿宋_GB2312" w:cs="仿宋_GB2312"/>
                      <w:sz w:val="21"/>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4" w:hRule="atLeast"/>
              </w:trPr>
              <w:tc>
                <w:tcPr>
                  <w:tcW w:w="1039" w:type="dxa"/>
                  <w:tcBorders>
                    <w:top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颗粒物</w:t>
                  </w:r>
                </w:p>
              </w:tc>
              <w:tc>
                <w:tcPr>
                  <w:tcW w:w="2142" w:type="dxa"/>
                  <w:tcBorders>
                    <w:top w:val="single" w:color="000000" w:sz="4" w:space="0"/>
                    <w:left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20</w:t>
                  </w:r>
                </w:p>
              </w:tc>
              <w:tc>
                <w:tcPr>
                  <w:tcW w:w="3328" w:type="dxa"/>
                  <w:tcBorders>
                    <w:top w:val="single" w:color="000000" w:sz="4" w:space="0"/>
                    <w:left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15"/>
                      <w:sz w:val="21"/>
                      <w:szCs w:val="21"/>
                    </w:rPr>
                    <w:t xml:space="preserve">厂界外 </w:t>
                  </w:r>
                  <w:r>
                    <w:rPr>
                      <w:rFonts w:hint="eastAsia" w:ascii="仿宋_GB2312" w:hAnsi="仿宋_GB2312" w:eastAsia="仿宋_GB2312" w:cs="仿宋_GB2312"/>
                      <w:sz w:val="21"/>
                      <w:szCs w:val="21"/>
                    </w:rPr>
                    <w:t xml:space="preserve">20m </w:t>
                  </w:r>
                  <w:r>
                    <w:rPr>
                      <w:rFonts w:hint="eastAsia" w:ascii="仿宋_GB2312" w:hAnsi="仿宋_GB2312" w:eastAsia="仿宋_GB2312" w:cs="仿宋_GB2312"/>
                      <w:spacing w:val="-2"/>
                      <w:sz w:val="21"/>
                      <w:szCs w:val="21"/>
                    </w:rPr>
                    <w:t xml:space="preserve">处上风向设置参照点， </w:t>
                  </w:r>
                  <w:r>
                    <w:rPr>
                      <w:rFonts w:hint="eastAsia" w:ascii="仿宋_GB2312" w:hAnsi="仿宋_GB2312" w:eastAsia="仿宋_GB2312" w:cs="仿宋_GB2312"/>
                      <w:sz w:val="21"/>
                      <w:szCs w:val="21"/>
                    </w:rPr>
                    <w:t>下风向设置监控点</w:t>
                  </w:r>
                </w:p>
              </w:tc>
              <w:tc>
                <w:tcPr>
                  <w:tcW w:w="2007" w:type="dxa"/>
                  <w:tcBorders>
                    <w:top w:val="single" w:color="000000" w:sz="4" w:space="0"/>
                    <w:left w:val="single" w:color="000000" w:sz="4" w:space="0"/>
                  </w:tcBorders>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0.5</w:t>
                  </w:r>
                </w:p>
              </w:tc>
            </w:tr>
          </w:tbl>
          <w:p>
            <w:pPr>
              <w:pStyle w:val="30"/>
              <w:jc w:val="left"/>
              <w:rPr>
                <w:rFonts w:ascii="黑体"/>
                <w:sz w:val="24"/>
              </w:rPr>
            </w:pPr>
          </w:p>
          <w:p>
            <w:pPr>
              <w:pStyle w:val="30"/>
              <w:jc w:val="left"/>
              <w:rPr>
                <w:rFonts w:ascii="黑体"/>
                <w:sz w:val="24"/>
              </w:rPr>
            </w:pPr>
          </w:p>
          <w:p>
            <w:pPr>
              <w:pStyle w:val="30"/>
              <w:jc w:val="left"/>
              <w:rPr>
                <w:rFonts w:ascii="黑体"/>
                <w:sz w:val="24"/>
              </w:rPr>
            </w:pPr>
          </w:p>
          <w:p>
            <w:pPr>
              <w:pStyle w:val="30"/>
              <w:keepNext w:val="0"/>
              <w:keepLines w:val="0"/>
              <w:pageBreakBefore w:val="0"/>
              <w:widowControl w:val="0"/>
              <w:kinsoku/>
              <w:wordWrap/>
              <w:overflowPunct/>
              <w:topLinePunct w:val="0"/>
              <w:autoSpaceDE/>
              <w:autoSpaceDN/>
              <w:bidi w:val="0"/>
              <w:adjustRightInd/>
              <w:snapToGrid/>
              <w:spacing w:line="480" w:lineRule="exact"/>
              <w:ind w:left="0" w:right="0" w:firstLine="560" w:firstLineChars="200"/>
              <w:jc w:val="left"/>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3、噪声污染物排放标准</w:t>
            </w:r>
          </w:p>
          <w:p>
            <w:pPr>
              <w:pStyle w:val="30"/>
              <w:keepNext w:val="0"/>
              <w:keepLines w:val="0"/>
              <w:pageBreakBefore w:val="0"/>
              <w:widowControl w:val="0"/>
              <w:kinsoku/>
              <w:wordWrap/>
              <w:overflowPunct/>
              <w:topLinePunct w:val="0"/>
              <w:autoSpaceDE/>
              <w:autoSpaceDN/>
              <w:bidi w:val="0"/>
              <w:adjustRightInd/>
              <w:snapToGrid/>
              <w:spacing w:line="480" w:lineRule="exact"/>
              <w:ind w:left="0" w:right="0"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执行《工业企业厂界环境噪声排放标准》（GB12348-2008）中 2 类标准。</w:t>
            </w:r>
          </w:p>
          <w:p>
            <w:pPr>
              <w:pStyle w:val="30"/>
              <w:spacing w:before="202"/>
              <w:ind w:left="47"/>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 xml:space="preserve">表 </w:t>
            </w:r>
            <w:r>
              <w:rPr>
                <w:rFonts w:hint="eastAsia" w:ascii="仿宋_GB2312" w:hAnsi="仿宋_GB2312" w:eastAsia="仿宋_GB2312" w:cs="仿宋_GB2312"/>
                <w:b/>
                <w:sz w:val="28"/>
                <w:szCs w:val="28"/>
                <w:lang w:val="en-US" w:eastAsia="zh-CN"/>
              </w:rPr>
              <w:t>1-2</w:t>
            </w:r>
            <w:r>
              <w:rPr>
                <w:rFonts w:hint="eastAsia" w:ascii="仿宋_GB2312" w:hAnsi="仿宋_GB2312" w:eastAsia="仿宋_GB2312" w:cs="仿宋_GB2312"/>
                <w:b/>
                <w:sz w:val="28"/>
                <w:szCs w:val="28"/>
              </w:rPr>
              <w:t xml:space="preserve"> 工业企业厂界环境噪声排放标准</w:t>
            </w:r>
          </w:p>
          <w:tbl>
            <w:tblPr>
              <w:tblStyle w:val="16"/>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73"/>
              <w:gridCol w:w="774"/>
              <w:gridCol w:w="2988"/>
              <w:gridCol w:w="599"/>
              <w:gridCol w:w="882"/>
              <w:gridCol w:w="753"/>
              <w:gridCol w:w="7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16" w:type="pct"/>
                  <w:vMerge w:val="restart"/>
                  <w:vAlign w:val="center"/>
                </w:tcPr>
                <w:p>
                  <w:pPr>
                    <w:pStyle w:val="30"/>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仿宋_GB2312" w:hAnsi="仿宋_GB2312" w:eastAsia="仿宋_GB2312" w:cs="仿宋_GB2312"/>
                      <w:sz w:val="21"/>
                    </w:rPr>
                  </w:pPr>
                  <w:r>
                    <w:rPr>
                      <w:rFonts w:hint="eastAsia" w:ascii="仿宋_GB2312" w:hAnsi="仿宋_GB2312" w:eastAsia="仿宋_GB2312" w:cs="仿宋_GB2312"/>
                      <w:spacing w:val="-1"/>
                      <w:w w:val="95"/>
                      <w:sz w:val="21"/>
                    </w:rPr>
                    <w:t>执行</w:t>
                  </w:r>
                </w:p>
                <w:p>
                  <w:pPr>
                    <w:pStyle w:val="30"/>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仿宋_GB2312" w:hAnsi="仿宋_GB2312" w:eastAsia="仿宋_GB2312" w:cs="仿宋_GB2312"/>
                      <w:sz w:val="21"/>
                    </w:rPr>
                  </w:pPr>
                  <w:r>
                    <w:rPr>
                      <w:rFonts w:hint="eastAsia" w:ascii="仿宋_GB2312" w:hAnsi="仿宋_GB2312" w:eastAsia="仿宋_GB2312" w:cs="仿宋_GB2312"/>
                      <w:spacing w:val="-1"/>
                      <w:w w:val="95"/>
                      <w:sz w:val="21"/>
                    </w:rPr>
                    <w:t>时段</w:t>
                  </w:r>
                </w:p>
              </w:tc>
              <w:tc>
                <w:tcPr>
                  <w:tcW w:w="517" w:type="pct"/>
                  <w:vMerge w:val="restart"/>
                  <w:vAlign w:val="center"/>
                </w:tcPr>
                <w:p>
                  <w:pPr>
                    <w:pStyle w:val="30"/>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仿宋_GB2312" w:hAnsi="仿宋_GB2312" w:eastAsia="仿宋_GB2312" w:cs="仿宋_GB2312"/>
                      <w:sz w:val="21"/>
                    </w:rPr>
                  </w:pPr>
                  <w:r>
                    <w:rPr>
                      <w:rFonts w:hint="eastAsia" w:ascii="仿宋_GB2312" w:hAnsi="仿宋_GB2312" w:eastAsia="仿宋_GB2312" w:cs="仿宋_GB2312"/>
                      <w:spacing w:val="-1"/>
                      <w:w w:val="95"/>
                      <w:sz w:val="21"/>
                    </w:rPr>
                    <w:t>执行</w:t>
                  </w:r>
                </w:p>
                <w:p>
                  <w:pPr>
                    <w:pStyle w:val="30"/>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仿宋_GB2312" w:hAnsi="仿宋_GB2312" w:eastAsia="仿宋_GB2312" w:cs="仿宋_GB2312"/>
                      <w:sz w:val="21"/>
                    </w:rPr>
                  </w:pPr>
                  <w:r>
                    <w:rPr>
                      <w:rFonts w:hint="eastAsia" w:ascii="仿宋_GB2312" w:hAnsi="仿宋_GB2312" w:eastAsia="仿宋_GB2312" w:cs="仿宋_GB2312"/>
                      <w:spacing w:val="-1"/>
                      <w:w w:val="95"/>
                      <w:sz w:val="21"/>
                    </w:rPr>
                    <w:t>位置</w:t>
                  </w:r>
                </w:p>
              </w:tc>
              <w:tc>
                <w:tcPr>
                  <w:tcW w:w="1996" w:type="pct"/>
                  <w:vMerge w:val="restart"/>
                  <w:vAlign w:val="center"/>
                </w:tcPr>
                <w:p>
                  <w:pPr>
                    <w:pStyle w:val="30"/>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仿宋_GB2312" w:hAnsi="仿宋_GB2312" w:eastAsia="仿宋_GB2312" w:cs="仿宋_GB2312"/>
                      <w:sz w:val="21"/>
                    </w:rPr>
                  </w:pPr>
                  <w:r>
                    <w:rPr>
                      <w:rFonts w:hint="eastAsia" w:ascii="仿宋_GB2312" w:hAnsi="仿宋_GB2312" w:eastAsia="仿宋_GB2312" w:cs="仿宋_GB2312"/>
                      <w:sz w:val="21"/>
                    </w:rPr>
                    <w:t>执行标准</w:t>
                  </w:r>
                </w:p>
              </w:tc>
              <w:tc>
                <w:tcPr>
                  <w:tcW w:w="400" w:type="pct"/>
                  <w:vMerge w:val="restart"/>
                  <w:vAlign w:val="center"/>
                </w:tcPr>
                <w:p>
                  <w:pPr>
                    <w:pStyle w:val="30"/>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仿宋_GB2312" w:hAnsi="仿宋_GB2312" w:eastAsia="仿宋_GB2312" w:cs="仿宋_GB2312"/>
                      <w:sz w:val="21"/>
                    </w:rPr>
                  </w:pPr>
                  <w:r>
                    <w:rPr>
                      <w:rFonts w:hint="eastAsia" w:ascii="仿宋_GB2312" w:hAnsi="仿宋_GB2312" w:eastAsia="仿宋_GB2312" w:cs="仿宋_GB2312"/>
                      <w:sz w:val="21"/>
                    </w:rPr>
                    <w:t>级别</w:t>
                  </w:r>
                </w:p>
              </w:tc>
              <w:tc>
                <w:tcPr>
                  <w:tcW w:w="589" w:type="pct"/>
                  <w:vMerge w:val="restart"/>
                  <w:vAlign w:val="center"/>
                </w:tcPr>
                <w:p>
                  <w:pPr>
                    <w:pStyle w:val="30"/>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仿宋_GB2312" w:hAnsi="仿宋_GB2312" w:eastAsia="仿宋_GB2312" w:cs="仿宋_GB2312"/>
                      <w:sz w:val="21"/>
                    </w:rPr>
                  </w:pPr>
                  <w:r>
                    <w:rPr>
                      <w:rFonts w:hint="eastAsia" w:ascii="仿宋_GB2312" w:hAnsi="仿宋_GB2312" w:eastAsia="仿宋_GB2312" w:cs="仿宋_GB2312"/>
                      <w:sz w:val="21"/>
                    </w:rPr>
                    <w:t>单位</w:t>
                  </w:r>
                </w:p>
              </w:tc>
              <w:tc>
                <w:tcPr>
                  <w:tcW w:w="979" w:type="pct"/>
                  <w:gridSpan w:val="2"/>
                  <w:vAlign w:val="center"/>
                </w:tcPr>
                <w:p>
                  <w:pPr>
                    <w:pStyle w:val="30"/>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仿宋_GB2312" w:hAnsi="仿宋_GB2312" w:eastAsia="仿宋_GB2312" w:cs="仿宋_GB2312"/>
                      <w:sz w:val="21"/>
                    </w:rPr>
                  </w:pPr>
                  <w:r>
                    <w:rPr>
                      <w:rFonts w:hint="eastAsia" w:ascii="仿宋_GB2312" w:hAnsi="仿宋_GB2312" w:eastAsia="仿宋_GB2312" w:cs="仿宋_GB2312"/>
                      <w:sz w:val="21"/>
                    </w:rPr>
                    <w:t>标准限值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16"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仿宋_GB2312" w:hAnsi="仿宋_GB2312" w:eastAsia="仿宋_GB2312" w:cs="仿宋_GB2312"/>
                      <w:sz w:val="2"/>
                      <w:szCs w:val="2"/>
                    </w:rPr>
                  </w:pPr>
                </w:p>
              </w:tc>
              <w:tc>
                <w:tcPr>
                  <w:tcW w:w="517"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仿宋_GB2312" w:hAnsi="仿宋_GB2312" w:eastAsia="仿宋_GB2312" w:cs="仿宋_GB2312"/>
                      <w:sz w:val="2"/>
                      <w:szCs w:val="2"/>
                    </w:rPr>
                  </w:pPr>
                </w:p>
              </w:tc>
              <w:tc>
                <w:tcPr>
                  <w:tcW w:w="1996"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仿宋_GB2312" w:hAnsi="仿宋_GB2312" w:eastAsia="仿宋_GB2312" w:cs="仿宋_GB2312"/>
                      <w:sz w:val="2"/>
                      <w:szCs w:val="2"/>
                    </w:rPr>
                  </w:pPr>
                </w:p>
              </w:tc>
              <w:tc>
                <w:tcPr>
                  <w:tcW w:w="400"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仿宋_GB2312" w:hAnsi="仿宋_GB2312" w:eastAsia="仿宋_GB2312" w:cs="仿宋_GB2312"/>
                      <w:sz w:val="2"/>
                      <w:szCs w:val="2"/>
                    </w:rPr>
                  </w:pPr>
                </w:p>
              </w:tc>
              <w:tc>
                <w:tcPr>
                  <w:tcW w:w="589"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仿宋_GB2312" w:hAnsi="仿宋_GB2312" w:eastAsia="仿宋_GB2312" w:cs="仿宋_GB2312"/>
                      <w:sz w:val="2"/>
                      <w:szCs w:val="2"/>
                    </w:rPr>
                  </w:pPr>
                </w:p>
              </w:tc>
              <w:tc>
                <w:tcPr>
                  <w:tcW w:w="503" w:type="pct"/>
                  <w:vAlign w:val="center"/>
                </w:tcPr>
                <w:p>
                  <w:pPr>
                    <w:pStyle w:val="30"/>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仿宋_GB2312" w:hAnsi="仿宋_GB2312" w:eastAsia="仿宋_GB2312" w:cs="仿宋_GB2312"/>
                      <w:sz w:val="21"/>
                    </w:rPr>
                  </w:pPr>
                  <w:r>
                    <w:rPr>
                      <w:rFonts w:hint="eastAsia" w:ascii="仿宋_GB2312" w:hAnsi="仿宋_GB2312" w:eastAsia="仿宋_GB2312" w:cs="仿宋_GB2312"/>
                      <w:w w:val="99"/>
                      <w:sz w:val="21"/>
                    </w:rPr>
                    <w:t>昼</w:t>
                  </w:r>
                </w:p>
              </w:tc>
              <w:tc>
                <w:tcPr>
                  <w:tcW w:w="475" w:type="pct"/>
                  <w:vAlign w:val="center"/>
                </w:tcPr>
                <w:p>
                  <w:pPr>
                    <w:pStyle w:val="30"/>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仿宋_GB2312" w:hAnsi="仿宋_GB2312" w:eastAsia="仿宋_GB2312" w:cs="仿宋_GB2312"/>
                      <w:sz w:val="21"/>
                    </w:rPr>
                  </w:pPr>
                  <w:r>
                    <w:rPr>
                      <w:rFonts w:hint="eastAsia" w:ascii="仿宋_GB2312" w:hAnsi="仿宋_GB2312" w:eastAsia="仿宋_GB2312" w:cs="仿宋_GB2312"/>
                      <w:w w:val="99"/>
                      <w:sz w:val="21"/>
                    </w:rPr>
                    <w:t>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16" w:type="pct"/>
                  <w:vAlign w:val="center"/>
                </w:tcPr>
                <w:p>
                  <w:pPr>
                    <w:pStyle w:val="30"/>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仿宋_GB2312" w:hAnsi="仿宋_GB2312" w:eastAsia="仿宋_GB2312" w:cs="仿宋_GB2312"/>
                      <w:sz w:val="21"/>
                    </w:rPr>
                  </w:pPr>
                  <w:r>
                    <w:rPr>
                      <w:rFonts w:hint="eastAsia" w:ascii="仿宋_GB2312" w:hAnsi="仿宋_GB2312" w:eastAsia="仿宋_GB2312" w:cs="仿宋_GB2312"/>
                      <w:sz w:val="21"/>
                    </w:rPr>
                    <w:t>运营期</w:t>
                  </w:r>
                </w:p>
              </w:tc>
              <w:tc>
                <w:tcPr>
                  <w:tcW w:w="517" w:type="pct"/>
                  <w:vAlign w:val="center"/>
                </w:tcPr>
                <w:p>
                  <w:pPr>
                    <w:pStyle w:val="30"/>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仿宋_GB2312" w:hAnsi="仿宋_GB2312" w:eastAsia="仿宋_GB2312" w:cs="仿宋_GB2312"/>
                      <w:sz w:val="21"/>
                    </w:rPr>
                  </w:pPr>
                  <w:r>
                    <w:rPr>
                      <w:rFonts w:hint="eastAsia" w:ascii="仿宋_GB2312" w:hAnsi="仿宋_GB2312" w:eastAsia="仿宋_GB2312" w:cs="仿宋_GB2312"/>
                      <w:sz w:val="21"/>
                    </w:rPr>
                    <w:t>厂界</w:t>
                  </w:r>
                </w:p>
              </w:tc>
              <w:tc>
                <w:tcPr>
                  <w:tcW w:w="1996" w:type="pct"/>
                  <w:vAlign w:val="center"/>
                </w:tcPr>
                <w:p>
                  <w:pPr>
                    <w:pStyle w:val="30"/>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仿宋_GB2312" w:hAnsi="仿宋_GB2312" w:eastAsia="仿宋_GB2312" w:cs="仿宋_GB2312"/>
                      <w:sz w:val="21"/>
                    </w:rPr>
                  </w:pPr>
                  <w:r>
                    <w:rPr>
                      <w:rFonts w:hint="eastAsia" w:ascii="仿宋_GB2312" w:hAnsi="仿宋_GB2312" w:eastAsia="仿宋_GB2312" w:cs="仿宋_GB2312"/>
                      <w:sz w:val="21"/>
                    </w:rPr>
                    <w:t>《工业企业厂界环境噪声排放标准》GB12348-2008</w:t>
                  </w:r>
                </w:p>
              </w:tc>
              <w:tc>
                <w:tcPr>
                  <w:tcW w:w="400" w:type="pct"/>
                  <w:vAlign w:val="center"/>
                </w:tcPr>
                <w:p>
                  <w:pPr>
                    <w:pStyle w:val="30"/>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仿宋_GB2312" w:hAnsi="仿宋_GB2312" w:eastAsia="仿宋_GB2312" w:cs="仿宋_GB2312"/>
                      <w:sz w:val="21"/>
                    </w:rPr>
                  </w:pPr>
                  <w:r>
                    <w:rPr>
                      <w:rFonts w:hint="eastAsia" w:ascii="仿宋_GB2312" w:hAnsi="仿宋_GB2312" w:eastAsia="仿宋_GB2312" w:cs="仿宋_GB2312"/>
                      <w:sz w:val="21"/>
                    </w:rPr>
                    <w:t>2 类</w:t>
                  </w:r>
                </w:p>
              </w:tc>
              <w:tc>
                <w:tcPr>
                  <w:tcW w:w="589" w:type="pct"/>
                  <w:vAlign w:val="center"/>
                </w:tcPr>
                <w:p>
                  <w:pPr>
                    <w:pStyle w:val="30"/>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仿宋_GB2312" w:hAnsi="仿宋_GB2312" w:eastAsia="仿宋_GB2312" w:cs="仿宋_GB2312"/>
                      <w:sz w:val="21"/>
                    </w:rPr>
                  </w:pPr>
                  <w:r>
                    <w:rPr>
                      <w:rFonts w:hint="eastAsia" w:ascii="仿宋_GB2312" w:hAnsi="仿宋_GB2312" w:eastAsia="仿宋_GB2312" w:cs="仿宋_GB2312"/>
                      <w:sz w:val="21"/>
                    </w:rPr>
                    <w:t>dB（A）</w:t>
                  </w:r>
                </w:p>
              </w:tc>
              <w:tc>
                <w:tcPr>
                  <w:tcW w:w="503" w:type="pct"/>
                  <w:vAlign w:val="center"/>
                </w:tcPr>
                <w:p>
                  <w:pPr>
                    <w:pStyle w:val="30"/>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仿宋_GB2312" w:hAnsi="仿宋_GB2312" w:eastAsia="仿宋_GB2312" w:cs="仿宋_GB2312"/>
                      <w:sz w:val="21"/>
                    </w:rPr>
                  </w:pPr>
                  <w:r>
                    <w:rPr>
                      <w:rFonts w:hint="eastAsia" w:ascii="仿宋_GB2312" w:hAnsi="仿宋_GB2312" w:eastAsia="仿宋_GB2312" w:cs="仿宋_GB2312"/>
                      <w:sz w:val="21"/>
                    </w:rPr>
                    <w:t>60</w:t>
                  </w:r>
                </w:p>
              </w:tc>
              <w:tc>
                <w:tcPr>
                  <w:tcW w:w="475" w:type="pct"/>
                  <w:vAlign w:val="center"/>
                </w:tcPr>
                <w:p>
                  <w:pPr>
                    <w:pStyle w:val="30"/>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仿宋_GB2312" w:hAnsi="仿宋_GB2312" w:eastAsia="仿宋_GB2312" w:cs="仿宋_GB2312"/>
                      <w:sz w:val="21"/>
                    </w:rPr>
                  </w:pPr>
                  <w:r>
                    <w:rPr>
                      <w:rFonts w:hint="eastAsia" w:ascii="仿宋_GB2312" w:hAnsi="仿宋_GB2312" w:eastAsia="仿宋_GB2312" w:cs="仿宋_GB2312"/>
                      <w:sz w:val="21"/>
                    </w:rPr>
                    <w:t>50</w:t>
                  </w:r>
                </w:p>
              </w:tc>
            </w:tr>
          </w:tbl>
          <w:p>
            <w:pPr>
              <w:pStyle w:val="30"/>
              <w:keepNext w:val="0"/>
              <w:keepLines w:val="0"/>
              <w:pageBreakBefore w:val="0"/>
              <w:widowControl w:val="0"/>
              <w:kinsoku/>
              <w:wordWrap/>
              <w:overflowPunct/>
              <w:topLinePunct w:val="0"/>
              <w:autoSpaceDE/>
              <w:autoSpaceDN/>
              <w:bidi w:val="0"/>
              <w:adjustRightInd/>
              <w:snapToGrid/>
              <w:spacing w:line="480" w:lineRule="exact"/>
              <w:ind w:left="0" w:right="0" w:firstLine="560" w:firstLineChars="200"/>
              <w:jc w:val="left"/>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4、固废污染物排放标准</w:t>
            </w:r>
          </w:p>
          <w:p>
            <w:pPr>
              <w:pStyle w:val="30"/>
              <w:keepNext w:val="0"/>
              <w:keepLines w:val="0"/>
              <w:pageBreakBefore w:val="0"/>
              <w:widowControl w:val="0"/>
              <w:kinsoku/>
              <w:wordWrap/>
              <w:overflowPunct/>
              <w:topLinePunct w:val="0"/>
              <w:autoSpaceDE/>
              <w:autoSpaceDN/>
              <w:bidi w:val="0"/>
              <w:adjustRightInd/>
              <w:snapToGrid/>
              <w:spacing w:line="480" w:lineRule="exact"/>
              <w:ind w:left="0" w:right="0"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一般固体废弃物排放执行《一般工业固体废物贮存、处置场污染物控制标准》（GB18599-2001）及修改单。</w:t>
            </w:r>
          </w:p>
          <w:p>
            <w:pPr>
              <w:pStyle w:val="15"/>
              <w:keepNext w:val="0"/>
              <w:keepLines w:val="0"/>
              <w:pageBreakBefore w:val="0"/>
              <w:widowControl w:val="0"/>
              <w:kinsoku/>
              <w:wordWrap/>
              <w:overflowPunct/>
              <w:topLinePunct w:val="0"/>
              <w:bidi w:val="0"/>
              <w:adjustRightInd/>
              <w:snapToGrid/>
              <w:spacing w:before="0" w:beforeLines="0" w:line="320" w:lineRule="exact"/>
              <w:ind w:left="0" w:leftChars="0" w:firstLine="0" w:firstLineChars="0"/>
              <w:outlineLvl w:val="9"/>
              <w:rPr>
                <w:rFonts w:hint="eastAsia"/>
                <w:color w:val="auto"/>
                <w:lang w:val="en-US" w:eastAsia="zh-CN"/>
              </w:rPr>
            </w:pPr>
          </w:p>
          <w:p>
            <w:pPr>
              <w:pStyle w:val="15"/>
              <w:keepNext w:val="0"/>
              <w:keepLines w:val="0"/>
              <w:pageBreakBefore w:val="0"/>
              <w:widowControl w:val="0"/>
              <w:kinsoku/>
              <w:wordWrap/>
              <w:overflowPunct/>
              <w:topLinePunct w:val="0"/>
              <w:bidi w:val="0"/>
              <w:adjustRightInd/>
              <w:snapToGrid/>
              <w:spacing w:before="0" w:beforeLines="0" w:line="320" w:lineRule="exact"/>
              <w:ind w:left="0" w:leftChars="0" w:firstLine="0" w:firstLineChars="0"/>
              <w:outlineLvl w:val="9"/>
              <w:rPr>
                <w:rFonts w:hint="eastAsia"/>
                <w:color w:val="auto"/>
                <w:lang w:val="en-US" w:eastAsia="zh-CN"/>
              </w:rPr>
            </w:pPr>
          </w:p>
          <w:p>
            <w:pPr>
              <w:pStyle w:val="15"/>
              <w:keepNext w:val="0"/>
              <w:keepLines w:val="0"/>
              <w:pageBreakBefore w:val="0"/>
              <w:widowControl w:val="0"/>
              <w:kinsoku/>
              <w:wordWrap/>
              <w:overflowPunct/>
              <w:topLinePunct w:val="0"/>
              <w:bidi w:val="0"/>
              <w:adjustRightInd/>
              <w:snapToGrid/>
              <w:spacing w:before="0" w:beforeLines="0" w:line="320" w:lineRule="exact"/>
              <w:ind w:left="0" w:leftChars="0" w:firstLine="0" w:firstLineChars="0"/>
              <w:outlineLvl w:val="9"/>
              <w:rPr>
                <w:rFonts w:hint="eastAsia"/>
                <w:color w:val="auto"/>
                <w:lang w:val="en-US" w:eastAsia="zh-CN"/>
              </w:rPr>
            </w:pPr>
          </w:p>
          <w:p>
            <w:pPr>
              <w:pStyle w:val="15"/>
              <w:keepNext w:val="0"/>
              <w:keepLines w:val="0"/>
              <w:pageBreakBefore w:val="0"/>
              <w:widowControl w:val="0"/>
              <w:kinsoku/>
              <w:wordWrap/>
              <w:overflowPunct/>
              <w:topLinePunct w:val="0"/>
              <w:bidi w:val="0"/>
              <w:adjustRightInd/>
              <w:snapToGrid/>
              <w:spacing w:before="0" w:beforeLines="0" w:line="320" w:lineRule="exact"/>
              <w:ind w:left="0" w:leftChars="0" w:firstLine="0" w:firstLineChars="0"/>
              <w:outlineLvl w:val="9"/>
              <w:rPr>
                <w:rFonts w:hint="eastAsia"/>
                <w:color w:val="auto"/>
                <w:lang w:val="en-US" w:eastAsia="zh-CN"/>
              </w:rPr>
            </w:pPr>
          </w:p>
          <w:p>
            <w:pPr>
              <w:pStyle w:val="15"/>
              <w:keepNext w:val="0"/>
              <w:keepLines w:val="0"/>
              <w:pageBreakBefore w:val="0"/>
              <w:widowControl w:val="0"/>
              <w:kinsoku/>
              <w:wordWrap/>
              <w:overflowPunct/>
              <w:topLinePunct w:val="0"/>
              <w:bidi w:val="0"/>
              <w:adjustRightInd/>
              <w:snapToGrid/>
              <w:spacing w:before="0" w:beforeLines="0" w:line="320" w:lineRule="exact"/>
              <w:ind w:left="0" w:leftChars="0" w:firstLine="0" w:firstLineChars="0"/>
              <w:outlineLvl w:val="9"/>
              <w:rPr>
                <w:rFonts w:hint="eastAsia"/>
                <w:color w:val="auto"/>
                <w:lang w:val="en-US" w:eastAsia="zh-CN"/>
              </w:rPr>
            </w:pPr>
          </w:p>
          <w:p>
            <w:pPr>
              <w:pStyle w:val="15"/>
              <w:keepNext w:val="0"/>
              <w:keepLines w:val="0"/>
              <w:pageBreakBefore w:val="0"/>
              <w:widowControl w:val="0"/>
              <w:kinsoku/>
              <w:wordWrap/>
              <w:overflowPunct/>
              <w:topLinePunct w:val="0"/>
              <w:bidi w:val="0"/>
              <w:adjustRightInd/>
              <w:snapToGrid/>
              <w:spacing w:before="0" w:beforeLines="0" w:line="320" w:lineRule="exact"/>
              <w:ind w:left="0" w:leftChars="0" w:firstLine="0" w:firstLineChars="0"/>
              <w:outlineLvl w:val="9"/>
              <w:rPr>
                <w:rFonts w:hint="eastAsia"/>
                <w:color w:val="auto"/>
                <w:lang w:val="en-US" w:eastAsia="zh-CN"/>
              </w:rPr>
            </w:pPr>
          </w:p>
          <w:p>
            <w:pPr>
              <w:pStyle w:val="15"/>
              <w:keepNext w:val="0"/>
              <w:keepLines w:val="0"/>
              <w:pageBreakBefore w:val="0"/>
              <w:widowControl w:val="0"/>
              <w:kinsoku/>
              <w:wordWrap/>
              <w:overflowPunct/>
              <w:topLinePunct w:val="0"/>
              <w:bidi w:val="0"/>
              <w:adjustRightInd/>
              <w:snapToGrid/>
              <w:spacing w:before="0" w:beforeLines="0" w:line="320" w:lineRule="exact"/>
              <w:ind w:left="0" w:leftChars="0" w:firstLine="0" w:firstLineChars="0"/>
              <w:outlineLvl w:val="9"/>
              <w:rPr>
                <w:rFonts w:hint="eastAsia"/>
                <w:color w:val="auto"/>
                <w:lang w:val="en-US" w:eastAsia="zh-CN"/>
              </w:rPr>
            </w:pPr>
          </w:p>
          <w:p>
            <w:pPr>
              <w:pStyle w:val="15"/>
              <w:keepNext w:val="0"/>
              <w:keepLines w:val="0"/>
              <w:pageBreakBefore w:val="0"/>
              <w:widowControl w:val="0"/>
              <w:kinsoku/>
              <w:wordWrap/>
              <w:overflowPunct/>
              <w:topLinePunct w:val="0"/>
              <w:bidi w:val="0"/>
              <w:adjustRightInd/>
              <w:snapToGrid/>
              <w:spacing w:before="0" w:beforeLines="0" w:line="320" w:lineRule="exact"/>
              <w:ind w:left="0" w:leftChars="0" w:firstLine="0" w:firstLineChars="0"/>
              <w:outlineLvl w:val="9"/>
              <w:rPr>
                <w:rFonts w:hint="eastAsia"/>
                <w:color w:val="auto"/>
                <w:lang w:val="en-US" w:eastAsia="zh-CN"/>
              </w:rPr>
            </w:pPr>
          </w:p>
          <w:p>
            <w:pPr>
              <w:pStyle w:val="15"/>
              <w:keepNext w:val="0"/>
              <w:keepLines w:val="0"/>
              <w:pageBreakBefore w:val="0"/>
              <w:widowControl w:val="0"/>
              <w:kinsoku/>
              <w:wordWrap/>
              <w:overflowPunct/>
              <w:topLinePunct w:val="0"/>
              <w:bidi w:val="0"/>
              <w:adjustRightInd/>
              <w:snapToGrid/>
              <w:spacing w:before="0" w:beforeLines="0" w:line="320" w:lineRule="exact"/>
              <w:ind w:left="0" w:leftChars="0" w:firstLine="0" w:firstLineChars="0"/>
              <w:outlineLvl w:val="9"/>
              <w:rPr>
                <w:rFonts w:hint="eastAsia"/>
                <w:color w:val="auto"/>
                <w:lang w:val="en-US" w:eastAsia="zh-CN"/>
              </w:rPr>
            </w:pPr>
          </w:p>
          <w:p>
            <w:pPr>
              <w:pStyle w:val="15"/>
              <w:keepNext w:val="0"/>
              <w:keepLines w:val="0"/>
              <w:pageBreakBefore w:val="0"/>
              <w:widowControl w:val="0"/>
              <w:kinsoku/>
              <w:wordWrap/>
              <w:overflowPunct/>
              <w:topLinePunct w:val="0"/>
              <w:bidi w:val="0"/>
              <w:adjustRightInd/>
              <w:snapToGrid/>
              <w:spacing w:before="0" w:beforeLines="0" w:line="320" w:lineRule="exact"/>
              <w:ind w:left="0" w:leftChars="0" w:firstLine="0" w:firstLineChars="0"/>
              <w:outlineLvl w:val="9"/>
              <w:rPr>
                <w:rFonts w:hint="eastAsia"/>
                <w:color w:val="auto"/>
                <w:lang w:val="en-US" w:eastAsia="zh-CN"/>
              </w:rPr>
            </w:pPr>
          </w:p>
          <w:p>
            <w:pPr>
              <w:pStyle w:val="15"/>
              <w:keepNext w:val="0"/>
              <w:keepLines w:val="0"/>
              <w:pageBreakBefore w:val="0"/>
              <w:widowControl w:val="0"/>
              <w:kinsoku/>
              <w:wordWrap/>
              <w:overflowPunct/>
              <w:topLinePunct w:val="0"/>
              <w:bidi w:val="0"/>
              <w:adjustRightInd/>
              <w:snapToGrid/>
              <w:spacing w:before="0" w:beforeLines="0" w:line="320" w:lineRule="exact"/>
              <w:ind w:left="0" w:leftChars="0" w:firstLine="0" w:firstLineChars="0"/>
              <w:outlineLvl w:val="9"/>
              <w:rPr>
                <w:rFonts w:hint="eastAsia"/>
                <w:color w:val="auto"/>
                <w:lang w:val="en-US" w:eastAsia="zh-CN"/>
              </w:rPr>
            </w:pPr>
          </w:p>
          <w:p>
            <w:pPr>
              <w:pStyle w:val="15"/>
              <w:keepNext w:val="0"/>
              <w:keepLines w:val="0"/>
              <w:pageBreakBefore w:val="0"/>
              <w:widowControl w:val="0"/>
              <w:kinsoku/>
              <w:wordWrap/>
              <w:overflowPunct/>
              <w:topLinePunct w:val="0"/>
              <w:bidi w:val="0"/>
              <w:adjustRightInd/>
              <w:snapToGrid/>
              <w:spacing w:before="0" w:beforeLines="0" w:line="320" w:lineRule="exact"/>
              <w:ind w:left="0" w:leftChars="0" w:firstLine="0" w:firstLineChars="0"/>
              <w:outlineLvl w:val="9"/>
              <w:rPr>
                <w:rFonts w:hint="eastAsia"/>
                <w:color w:val="auto"/>
                <w:lang w:val="en-US" w:eastAsia="zh-CN"/>
              </w:rPr>
            </w:pPr>
          </w:p>
          <w:p>
            <w:pPr>
              <w:pStyle w:val="15"/>
              <w:keepNext w:val="0"/>
              <w:keepLines w:val="0"/>
              <w:pageBreakBefore w:val="0"/>
              <w:widowControl w:val="0"/>
              <w:kinsoku/>
              <w:wordWrap/>
              <w:overflowPunct/>
              <w:topLinePunct w:val="0"/>
              <w:bidi w:val="0"/>
              <w:adjustRightInd/>
              <w:snapToGrid/>
              <w:spacing w:before="0" w:beforeLines="0" w:line="320" w:lineRule="exact"/>
              <w:ind w:left="0" w:leftChars="0" w:firstLine="0" w:firstLineChars="0"/>
              <w:outlineLvl w:val="9"/>
              <w:rPr>
                <w:rFonts w:hint="eastAsia"/>
                <w:color w:val="auto"/>
                <w:lang w:val="en-US" w:eastAsia="zh-CN"/>
              </w:rPr>
            </w:pPr>
          </w:p>
          <w:p>
            <w:pPr>
              <w:pStyle w:val="15"/>
              <w:keepNext w:val="0"/>
              <w:keepLines w:val="0"/>
              <w:pageBreakBefore w:val="0"/>
              <w:widowControl w:val="0"/>
              <w:kinsoku/>
              <w:wordWrap/>
              <w:overflowPunct/>
              <w:topLinePunct w:val="0"/>
              <w:bidi w:val="0"/>
              <w:adjustRightInd/>
              <w:snapToGrid/>
              <w:spacing w:before="0" w:beforeLines="0" w:line="320" w:lineRule="exact"/>
              <w:ind w:left="0" w:leftChars="0" w:firstLine="0" w:firstLineChars="0"/>
              <w:outlineLvl w:val="9"/>
              <w:rPr>
                <w:rFonts w:hint="default"/>
                <w:color w:val="auto"/>
                <w:lang w:val="en-US" w:eastAsia="zh-CN"/>
              </w:rPr>
            </w:pPr>
          </w:p>
          <w:p>
            <w:pPr>
              <w:pStyle w:val="15"/>
              <w:keepNext w:val="0"/>
              <w:keepLines w:val="0"/>
              <w:pageBreakBefore w:val="0"/>
              <w:widowControl w:val="0"/>
              <w:kinsoku/>
              <w:wordWrap/>
              <w:overflowPunct/>
              <w:topLinePunct w:val="0"/>
              <w:bidi w:val="0"/>
              <w:adjustRightInd/>
              <w:snapToGrid/>
              <w:spacing w:before="0" w:beforeLines="0" w:line="320" w:lineRule="exact"/>
              <w:ind w:left="0" w:leftChars="0" w:firstLine="0" w:firstLineChars="0"/>
              <w:outlineLvl w:val="9"/>
              <w:rPr>
                <w:rFonts w:hint="eastAsia"/>
                <w:color w:val="auto"/>
                <w:lang w:val="en-US" w:eastAsia="zh-CN"/>
              </w:rPr>
            </w:pPr>
          </w:p>
          <w:p>
            <w:pPr>
              <w:pStyle w:val="15"/>
              <w:keepNext w:val="0"/>
              <w:keepLines w:val="0"/>
              <w:pageBreakBefore w:val="0"/>
              <w:widowControl w:val="0"/>
              <w:kinsoku/>
              <w:wordWrap/>
              <w:overflowPunct/>
              <w:topLinePunct w:val="0"/>
              <w:bidi w:val="0"/>
              <w:adjustRightInd/>
              <w:snapToGrid/>
              <w:spacing w:before="0" w:beforeLines="0" w:line="320" w:lineRule="exact"/>
              <w:ind w:left="0" w:leftChars="0" w:firstLine="0" w:firstLineChars="0"/>
              <w:outlineLvl w:val="9"/>
              <w:rPr>
                <w:rFonts w:hint="eastAsia"/>
                <w:color w:val="auto"/>
                <w:lang w:val="en-US" w:eastAsia="zh-CN"/>
              </w:rPr>
            </w:pPr>
          </w:p>
          <w:p>
            <w:pPr>
              <w:pStyle w:val="15"/>
              <w:keepNext w:val="0"/>
              <w:keepLines w:val="0"/>
              <w:pageBreakBefore w:val="0"/>
              <w:widowControl w:val="0"/>
              <w:kinsoku/>
              <w:wordWrap/>
              <w:overflowPunct/>
              <w:topLinePunct w:val="0"/>
              <w:bidi w:val="0"/>
              <w:adjustRightInd/>
              <w:snapToGrid/>
              <w:spacing w:before="0" w:beforeLines="0" w:line="320" w:lineRule="exact"/>
              <w:ind w:left="0" w:leftChars="0" w:firstLine="0" w:firstLineChars="0"/>
              <w:outlineLvl w:val="9"/>
              <w:rPr>
                <w:rFonts w:hint="eastAsia"/>
                <w:color w:val="auto"/>
                <w:lang w:val="en-US" w:eastAsia="zh-CN"/>
              </w:rPr>
            </w:pPr>
          </w:p>
          <w:p>
            <w:pPr>
              <w:pStyle w:val="15"/>
              <w:keepNext w:val="0"/>
              <w:keepLines w:val="0"/>
              <w:pageBreakBefore w:val="0"/>
              <w:widowControl w:val="0"/>
              <w:kinsoku/>
              <w:wordWrap/>
              <w:overflowPunct/>
              <w:topLinePunct w:val="0"/>
              <w:bidi w:val="0"/>
              <w:adjustRightInd/>
              <w:snapToGrid/>
              <w:spacing w:before="0" w:beforeLines="0" w:line="320" w:lineRule="exact"/>
              <w:ind w:left="0" w:leftChars="0" w:firstLine="0" w:firstLineChars="0"/>
              <w:outlineLvl w:val="9"/>
              <w:rPr>
                <w:rFonts w:hint="eastAsia"/>
                <w:color w:val="auto"/>
                <w:lang w:val="en-US" w:eastAsia="zh-CN"/>
              </w:rPr>
            </w:pPr>
          </w:p>
          <w:p>
            <w:pPr>
              <w:pStyle w:val="15"/>
              <w:keepNext w:val="0"/>
              <w:keepLines w:val="0"/>
              <w:pageBreakBefore w:val="0"/>
              <w:widowControl w:val="0"/>
              <w:kinsoku/>
              <w:wordWrap/>
              <w:overflowPunct/>
              <w:topLinePunct w:val="0"/>
              <w:bidi w:val="0"/>
              <w:adjustRightInd/>
              <w:snapToGrid/>
              <w:spacing w:before="0" w:beforeLines="0" w:line="320" w:lineRule="exact"/>
              <w:ind w:left="0" w:leftChars="0" w:firstLine="0" w:firstLineChars="0"/>
              <w:outlineLvl w:val="9"/>
              <w:rPr>
                <w:rFonts w:hint="eastAsia"/>
                <w:color w:val="auto"/>
                <w:lang w:val="en-US" w:eastAsia="zh-CN"/>
              </w:rPr>
            </w:pPr>
          </w:p>
          <w:p>
            <w:pPr>
              <w:pStyle w:val="15"/>
              <w:keepNext w:val="0"/>
              <w:keepLines w:val="0"/>
              <w:pageBreakBefore w:val="0"/>
              <w:widowControl w:val="0"/>
              <w:kinsoku/>
              <w:wordWrap/>
              <w:overflowPunct/>
              <w:topLinePunct w:val="0"/>
              <w:bidi w:val="0"/>
              <w:adjustRightInd/>
              <w:snapToGrid/>
              <w:spacing w:before="0" w:beforeLines="0" w:line="320" w:lineRule="exact"/>
              <w:ind w:left="0" w:leftChars="0" w:firstLine="0" w:firstLineChars="0"/>
              <w:outlineLvl w:val="9"/>
              <w:rPr>
                <w:rFonts w:hint="default"/>
                <w:color w:val="auto"/>
                <w:lang w:val="en-US" w:eastAsia="zh-CN"/>
              </w:rPr>
            </w:pPr>
          </w:p>
        </w:tc>
      </w:tr>
    </w:tbl>
    <w:p>
      <w:pPr>
        <w:snapToGrid w:val="0"/>
        <w:spacing w:line="260" w:lineRule="exact"/>
        <w:jc w:val="left"/>
        <w:rPr>
          <w:rFonts w:hint="eastAsia" w:ascii="仿宋_GB2312" w:hAnsi="仿宋_GB2312" w:eastAsia="仿宋_GB2312" w:cs="仿宋_GB2312"/>
          <w:b/>
          <w:bCs/>
          <w:color w:val="auto"/>
          <w:sz w:val="28"/>
          <w:szCs w:val="28"/>
          <w:lang w:eastAsia="zh-CN"/>
        </w:rPr>
        <w:sectPr>
          <w:footerReference r:id="rId12" w:type="first"/>
          <w:footerReference r:id="rId11" w:type="default"/>
          <w:pgSz w:w="11906" w:h="16838"/>
          <w:pgMar w:top="1440" w:right="1797" w:bottom="1440" w:left="1797" w:header="851" w:footer="992" w:gutter="0"/>
          <w:pgBorders>
            <w:top w:val="none" w:sz="0" w:space="0"/>
            <w:left w:val="none" w:sz="0" w:space="0"/>
            <w:bottom w:val="none" w:sz="0" w:space="0"/>
            <w:right w:val="none" w:sz="0" w:space="0"/>
          </w:pgBorders>
          <w:pgNumType w:fmt="numberInDash"/>
          <w:cols w:space="720" w:num="1"/>
          <w:titlePg/>
          <w:docGrid w:type="linesAndChars" w:linePitch="312" w:charSpace="0"/>
        </w:sectPr>
      </w:pPr>
    </w:p>
    <w:p>
      <w:pPr>
        <w:pStyle w:val="4"/>
        <w:keepNext/>
        <w:keepLines/>
        <w:pageBreakBefore w:val="0"/>
        <w:widowControl w:val="0"/>
        <w:kinsoku/>
        <w:wordWrap/>
        <w:overflowPunct/>
        <w:topLinePunct w:val="0"/>
        <w:autoSpaceDE/>
        <w:autoSpaceDN/>
        <w:bidi w:val="0"/>
        <w:adjustRightInd/>
        <w:snapToGrid w:val="0"/>
        <w:spacing w:after="0" w:line="240" w:lineRule="auto"/>
        <w:textAlignment w:val="baseline"/>
        <w:rPr>
          <w:rFonts w:hint="eastAsia"/>
          <w:color w:val="auto"/>
          <w:lang w:eastAsia="zh-CN"/>
        </w:rPr>
      </w:pPr>
      <w:r>
        <w:rPr>
          <w:rFonts w:hint="eastAsia"/>
          <w:color w:val="auto"/>
          <w:lang w:eastAsia="zh-CN"/>
        </w:rPr>
        <w:t>表二</w:t>
      </w:r>
    </w:p>
    <w:tbl>
      <w:tblPr>
        <w:tblStyle w:val="17"/>
        <w:tblW w:w="921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5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15" w:hRule="atLeast"/>
          <w:jc w:val="center"/>
        </w:trPr>
        <w:tc>
          <w:tcPr>
            <w:tcW w:w="85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b/>
                <w:bCs/>
                <w:color w:val="auto"/>
                <w:sz w:val="28"/>
                <w:szCs w:val="28"/>
                <w:vertAlign w:val="baseline"/>
                <w:lang w:eastAsia="zh-CN"/>
              </w:rPr>
            </w:pPr>
            <w:r>
              <w:rPr>
                <w:rFonts w:hint="eastAsia" w:ascii="仿宋_GB2312" w:hAnsi="仿宋_GB2312" w:eastAsia="仿宋_GB2312" w:cs="仿宋_GB2312"/>
                <w:b/>
                <w:bCs/>
                <w:color w:val="auto"/>
                <w:sz w:val="28"/>
                <w:szCs w:val="28"/>
                <w:vertAlign w:val="baseline"/>
                <w:lang w:eastAsia="zh-CN"/>
              </w:rPr>
              <w:t>工程建设内容：</w:t>
            </w:r>
          </w:p>
          <w:p>
            <w:pPr>
              <w:keepNext w:val="0"/>
              <w:keepLines w:val="0"/>
              <w:pageBreakBefore w:val="0"/>
              <w:widowControl w:val="0"/>
              <w:kinsoku/>
              <w:wordWrap/>
              <w:overflowPunct/>
              <w:topLinePunct w:val="0"/>
              <w:autoSpaceDE/>
              <w:autoSpaceDN/>
              <w:bidi w:val="0"/>
              <w:adjustRightInd w:val="0"/>
              <w:snapToGrid w:val="0"/>
              <w:spacing w:line="480" w:lineRule="exact"/>
              <w:ind w:firstLine="548" w:firstLineChars="200"/>
              <w:textAlignment w:val="auto"/>
              <w:outlineLvl w:val="9"/>
              <w:rPr>
                <w:rFonts w:hint="eastAsia" w:ascii="仿宋_GB2312" w:hAnsi="仿宋_GB2312" w:eastAsia="仿宋_GB2312" w:cs="仿宋_GB2312"/>
                <w:color w:val="auto"/>
                <w:spacing w:val="-3"/>
                <w:sz w:val="28"/>
                <w:szCs w:val="28"/>
                <w:lang w:val="en-US" w:eastAsia="zh-CN"/>
              </w:rPr>
            </w:pPr>
            <w:r>
              <w:rPr>
                <w:rFonts w:hint="eastAsia" w:ascii="仿宋_GB2312" w:hAnsi="仿宋_GB2312" w:eastAsia="仿宋_GB2312" w:cs="仿宋_GB2312"/>
                <w:color w:val="auto"/>
                <w:spacing w:val="-3"/>
                <w:sz w:val="28"/>
                <w:szCs w:val="28"/>
                <w:lang w:val="en-US"/>
              </w:rPr>
              <w:t>项目</w:t>
            </w:r>
            <w:r>
              <w:rPr>
                <w:rFonts w:hint="eastAsia" w:ascii="仿宋_GB2312" w:hAnsi="仿宋_GB2312" w:eastAsia="仿宋_GB2312" w:cs="仿宋_GB2312"/>
                <w:color w:val="auto"/>
                <w:spacing w:val="-3"/>
                <w:sz w:val="28"/>
                <w:szCs w:val="28"/>
                <w:lang w:val="en-US" w:eastAsia="zh-CN"/>
              </w:rPr>
              <w:t>位于明光市管店镇罗岭工业集中区104国道东侧，建设内容包括新建仓库（1栋1层）、搅拌楼（2栋3层）、办公楼（1栋3层）和研发中心楼（1栋3层），同时采购相关配套设备；项目投产后形成年产33万立方预拌砂浆、商品混凝土、4万立方PC预制构件的生产能力。</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eastAsia" w:hAnsi="宋体" w:eastAsia="仿宋_GB2312"/>
                <w:b/>
                <w:color w:val="auto"/>
                <w:sz w:val="24"/>
                <w:lang w:eastAsia="zh-CN"/>
              </w:rPr>
            </w:pPr>
            <w:r>
              <w:rPr>
                <w:rFonts w:hint="eastAsia" w:ascii="仿宋_GB2312" w:hAnsi="仿宋_GB2312" w:eastAsia="仿宋_GB2312" w:cs="仿宋_GB2312"/>
                <w:b/>
                <w:color w:val="auto"/>
                <w:sz w:val="28"/>
                <w:szCs w:val="28"/>
                <w:lang w:eastAsia="zh-CN"/>
              </w:rPr>
              <w:t>表</w:t>
            </w:r>
            <w:r>
              <w:rPr>
                <w:rFonts w:hint="eastAsia" w:ascii="仿宋_GB2312" w:hAnsi="仿宋_GB2312" w:eastAsia="仿宋_GB2312" w:cs="仿宋_GB2312"/>
                <w:b/>
                <w:color w:val="auto"/>
                <w:sz w:val="28"/>
                <w:szCs w:val="28"/>
                <w:lang w:val="en-US" w:eastAsia="zh-CN"/>
              </w:rPr>
              <w:t>2-1</w:t>
            </w:r>
            <w:r>
              <w:rPr>
                <w:rFonts w:hint="eastAsia" w:ascii="仿宋_GB2312" w:hAnsi="仿宋_GB2312" w:eastAsia="仿宋_GB2312" w:cs="仿宋_GB2312"/>
                <w:b/>
                <w:color w:val="auto"/>
                <w:sz w:val="28"/>
                <w:szCs w:val="28"/>
                <w:lang w:eastAsia="zh-CN"/>
              </w:rPr>
              <w:t>项目</w:t>
            </w:r>
            <w:r>
              <w:rPr>
                <w:rFonts w:hint="eastAsia" w:ascii="仿宋_GB2312" w:hAnsi="仿宋_GB2312" w:eastAsia="仿宋_GB2312" w:cs="仿宋_GB2312"/>
                <w:b/>
                <w:color w:val="auto"/>
                <w:sz w:val="28"/>
                <w:szCs w:val="28"/>
              </w:rPr>
              <w:t>产品方案表</w:t>
            </w:r>
          </w:p>
          <w:tbl>
            <w:tblPr>
              <w:tblStyle w:val="16"/>
              <w:tblW w:w="4987" w:type="pct"/>
              <w:tblInd w:w="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175"/>
              <w:gridCol w:w="1066"/>
              <w:gridCol w:w="2617"/>
              <w:gridCol w:w="3206"/>
              <w:gridCol w:w="119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634" w:type="pct"/>
                  <w:tcBorders>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autoSpaceDN/>
                    <w:bidi w:val="0"/>
                    <w:adjustRightInd/>
                    <w:snapToGrid w:val="0"/>
                    <w:ind w:left="0" w:right="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工程名称</w:t>
                  </w:r>
                </w:p>
              </w:tc>
              <w:tc>
                <w:tcPr>
                  <w:tcW w:w="575" w:type="pct"/>
                  <w:tcBorders>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autoSpaceDN/>
                    <w:bidi w:val="0"/>
                    <w:adjustRightInd/>
                    <w:snapToGrid w:val="0"/>
                    <w:ind w:left="0" w:right="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产品名称及规格</w:t>
                  </w:r>
                </w:p>
              </w:tc>
              <w:tc>
                <w:tcPr>
                  <w:tcW w:w="1412" w:type="pct"/>
                  <w:tcBorders>
                    <w:left w:val="single" w:color="000000" w:sz="4" w:space="0"/>
                    <w:bottom w:val="single" w:color="000000" w:sz="4" w:space="0"/>
                  </w:tcBorders>
                  <w:vAlign w:val="center"/>
                </w:tcPr>
                <w:p>
                  <w:pPr>
                    <w:pStyle w:val="30"/>
                    <w:keepNext w:val="0"/>
                    <w:keepLines w:val="0"/>
                    <w:pageBreakBefore w:val="0"/>
                    <w:widowControl w:val="0"/>
                    <w:kinsoku/>
                    <w:wordWrap/>
                    <w:overflowPunct/>
                    <w:topLinePunct w:val="0"/>
                    <w:autoSpaceDE/>
                    <w:autoSpaceDN/>
                    <w:bidi w:val="0"/>
                    <w:adjustRightInd/>
                    <w:snapToGrid w:val="0"/>
                    <w:ind w:left="0" w:right="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设计能力</w:t>
                  </w:r>
                </w:p>
              </w:tc>
              <w:tc>
                <w:tcPr>
                  <w:tcW w:w="1730" w:type="pct"/>
                  <w:tcBorders>
                    <w:left w:val="single" w:color="000000" w:sz="4" w:space="0"/>
                    <w:bottom w:val="single" w:color="000000" w:sz="4" w:space="0"/>
                  </w:tcBorders>
                  <w:vAlign w:val="center"/>
                </w:tcPr>
                <w:p>
                  <w:pPr>
                    <w:pStyle w:val="30"/>
                    <w:keepNext w:val="0"/>
                    <w:keepLines w:val="0"/>
                    <w:pageBreakBefore w:val="0"/>
                    <w:widowControl w:val="0"/>
                    <w:kinsoku/>
                    <w:wordWrap/>
                    <w:overflowPunct/>
                    <w:topLinePunct w:val="0"/>
                    <w:autoSpaceDE/>
                    <w:autoSpaceDN/>
                    <w:bidi w:val="0"/>
                    <w:adjustRightInd/>
                    <w:snapToGrid w:val="0"/>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实际能力</w:t>
                  </w:r>
                </w:p>
              </w:tc>
              <w:tc>
                <w:tcPr>
                  <w:tcW w:w="646" w:type="pct"/>
                  <w:tcBorders>
                    <w:left w:val="single" w:color="000000" w:sz="4" w:space="0"/>
                    <w:bottom w:val="single" w:color="000000" w:sz="4" w:space="0"/>
                  </w:tcBorders>
                  <w:vAlign w:val="center"/>
                </w:tcPr>
                <w:p>
                  <w:pPr>
                    <w:pStyle w:val="30"/>
                    <w:keepNext w:val="0"/>
                    <w:keepLines w:val="0"/>
                    <w:pageBreakBefore w:val="0"/>
                    <w:widowControl w:val="0"/>
                    <w:kinsoku/>
                    <w:wordWrap/>
                    <w:overflowPunct/>
                    <w:topLinePunct w:val="0"/>
                    <w:autoSpaceDE/>
                    <w:autoSpaceDN/>
                    <w:bidi w:val="0"/>
                    <w:adjustRightInd/>
                    <w:snapToGrid w:val="0"/>
                    <w:ind w:left="0" w:right="0"/>
                    <w:jc w:val="center"/>
                    <w:textAlignment w:val="auto"/>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年运行时间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634" w:type="pct"/>
                  <w:tcBorders>
                    <w:top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autoSpaceDN/>
                    <w:bidi w:val="0"/>
                    <w:adjustRightInd/>
                    <w:snapToGrid w:val="0"/>
                    <w:ind w:left="0" w:right="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砂浆生产线</w:t>
                  </w:r>
                </w:p>
              </w:tc>
              <w:tc>
                <w:tcPr>
                  <w:tcW w:w="575"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autoSpaceDN/>
                    <w:bidi w:val="0"/>
                    <w:adjustRightInd/>
                    <w:snapToGrid w:val="0"/>
                    <w:ind w:left="0" w:right="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湿拌砂浆</w:t>
                  </w:r>
                </w:p>
              </w:tc>
              <w:tc>
                <w:tcPr>
                  <w:tcW w:w="1412" w:type="pct"/>
                  <w:tcBorders>
                    <w:top w:val="single" w:color="000000" w:sz="4" w:space="0"/>
                    <w:left w:val="single" w:color="000000" w:sz="4" w:space="0"/>
                    <w:bottom w:val="single" w:color="000000" w:sz="4" w:space="0"/>
                  </w:tcBorders>
                  <w:vAlign w:val="center"/>
                </w:tcPr>
                <w:p>
                  <w:pPr>
                    <w:pStyle w:val="30"/>
                    <w:keepNext w:val="0"/>
                    <w:keepLines w:val="0"/>
                    <w:pageBreakBefore w:val="0"/>
                    <w:widowControl w:val="0"/>
                    <w:kinsoku/>
                    <w:wordWrap/>
                    <w:overflowPunct/>
                    <w:topLinePunct w:val="0"/>
                    <w:autoSpaceDE/>
                    <w:autoSpaceDN/>
                    <w:bidi w:val="0"/>
                    <w:adjustRightInd/>
                    <w:snapToGrid w:val="0"/>
                    <w:ind w:left="0" w:righ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10万</w:t>
                  </w:r>
                  <w:r>
                    <w:rPr>
                      <w:rFonts w:hint="default" w:ascii="Times New Roman" w:hAnsi="Times New Roman" w:eastAsia="仿宋_GB2312" w:cs="Times New Roman"/>
                      <w:sz w:val="21"/>
                      <w:szCs w:val="21"/>
                      <w:lang w:val="en-US" w:eastAsia="zh-CN"/>
                    </w:rPr>
                    <w:t>m</w:t>
                  </w:r>
                  <w:r>
                    <w:rPr>
                      <w:rFonts w:hint="default" w:ascii="Times New Roman" w:hAnsi="Times New Roman" w:eastAsia="仿宋_GB2312" w:cs="Times New Roman"/>
                      <w:sz w:val="21"/>
                      <w:szCs w:val="21"/>
                      <w:vertAlign w:val="superscript"/>
                      <w:lang w:val="en-US" w:eastAsia="zh-CN"/>
                    </w:rPr>
                    <w:t>3</w:t>
                  </w:r>
                  <w:r>
                    <w:rPr>
                      <w:rFonts w:hint="default" w:ascii="Times New Roman" w:hAnsi="Times New Roman" w:eastAsia="仿宋_GB2312" w:cs="Times New Roman"/>
                      <w:sz w:val="21"/>
                      <w:szCs w:val="21"/>
                    </w:rPr>
                    <w:t>/a</w:t>
                  </w:r>
                </w:p>
              </w:tc>
              <w:tc>
                <w:tcPr>
                  <w:tcW w:w="1730" w:type="pct"/>
                  <w:tcBorders>
                    <w:top w:val="single" w:color="000000" w:sz="4" w:space="0"/>
                    <w:left w:val="single" w:color="000000" w:sz="4" w:space="0"/>
                    <w:bottom w:val="single" w:color="000000" w:sz="4" w:space="0"/>
                  </w:tcBorders>
                  <w:vAlign w:val="center"/>
                </w:tcPr>
                <w:p>
                  <w:pPr>
                    <w:pStyle w:val="30"/>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10万</w:t>
                  </w:r>
                  <w:r>
                    <w:rPr>
                      <w:rFonts w:hint="default" w:ascii="Times New Roman" w:hAnsi="Times New Roman" w:eastAsia="仿宋_GB2312" w:cs="Times New Roman"/>
                      <w:color w:val="auto"/>
                      <w:sz w:val="21"/>
                      <w:szCs w:val="21"/>
                    </w:rPr>
                    <w:t>m</w:t>
                  </w:r>
                  <w:r>
                    <w:rPr>
                      <w:rStyle w:val="37"/>
                      <w:rFonts w:hint="default" w:ascii="Times New Roman" w:hAnsi="Times New Roman" w:cs="Times New Roman"/>
                      <w:color w:val="auto"/>
                      <w:vertAlign w:val="superscript"/>
                    </w:rPr>
                    <w:t>3</w:t>
                  </w:r>
                  <w:r>
                    <w:rPr>
                      <w:rFonts w:hint="default" w:ascii="Times New Roman" w:hAnsi="Times New Roman" w:eastAsia="仿宋_GB2312" w:cs="Times New Roman"/>
                      <w:color w:val="auto"/>
                      <w:sz w:val="21"/>
                      <w:szCs w:val="21"/>
                    </w:rPr>
                    <w:t>/a</w:t>
                  </w:r>
                </w:p>
              </w:tc>
              <w:tc>
                <w:tcPr>
                  <w:tcW w:w="646" w:type="pct"/>
                  <w:vMerge w:val="restart"/>
                  <w:tcBorders>
                    <w:top w:val="single" w:color="000000" w:sz="4" w:space="0"/>
                    <w:left w:val="single" w:color="000000" w:sz="4" w:space="0"/>
                  </w:tcBorders>
                  <w:vAlign w:val="center"/>
                </w:tcPr>
                <w:p>
                  <w:pPr>
                    <w:pStyle w:val="30"/>
                    <w:keepNext w:val="0"/>
                    <w:keepLines w:val="0"/>
                    <w:pageBreakBefore w:val="0"/>
                    <w:widowControl w:val="0"/>
                    <w:kinsoku/>
                    <w:wordWrap/>
                    <w:overflowPunct/>
                    <w:topLinePunct w:val="0"/>
                    <w:autoSpaceDE/>
                    <w:autoSpaceDN/>
                    <w:bidi w:val="0"/>
                    <w:adjustRightInd/>
                    <w:snapToGrid w:val="0"/>
                    <w:ind w:left="0" w:right="0"/>
                    <w:jc w:val="center"/>
                    <w:textAlignment w:val="auto"/>
                    <w:rPr>
                      <w:rFonts w:hint="default" w:ascii="仿宋_GB2312" w:hAnsi="仿宋_GB2312" w:eastAsia="仿宋_GB2312" w:cs="仿宋_GB2312"/>
                      <w:sz w:val="21"/>
                      <w:szCs w:val="21"/>
                      <w:lang w:val="en-US" w:eastAsia="zh-CN"/>
                    </w:rPr>
                  </w:pPr>
                  <w:r>
                    <w:rPr>
                      <w:rFonts w:hint="default" w:ascii="Times New Roman" w:hAnsi="Times New Roman" w:eastAsia="仿宋_GB2312" w:cs="Times New Roman"/>
                      <w:sz w:val="21"/>
                      <w:szCs w:val="21"/>
                      <w:lang w:val="en-US" w:eastAsia="zh-CN"/>
                    </w:rPr>
                    <w:t>2400h</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2" w:hRule="atLeast"/>
              </w:trPr>
              <w:tc>
                <w:tcPr>
                  <w:tcW w:w="634" w:type="pct"/>
                  <w:tcBorders>
                    <w:top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autoSpaceDN/>
                    <w:bidi w:val="0"/>
                    <w:adjustRightInd/>
                    <w:snapToGrid w:val="0"/>
                    <w:ind w:left="0" w:right="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砂浆生产线</w:t>
                  </w:r>
                </w:p>
              </w:tc>
              <w:tc>
                <w:tcPr>
                  <w:tcW w:w="575"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autoSpaceDN/>
                    <w:bidi w:val="0"/>
                    <w:adjustRightInd/>
                    <w:snapToGrid w:val="0"/>
                    <w:ind w:left="0" w:right="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干混砂浆</w:t>
                  </w:r>
                </w:p>
              </w:tc>
              <w:tc>
                <w:tcPr>
                  <w:tcW w:w="1412" w:type="pct"/>
                  <w:tcBorders>
                    <w:top w:val="single" w:color="000000" w:sz="4" w:space="0"/>
                    <w:left w:val="single" w:color="000000" w:sz="4" w:space="0"/>
                    <w:bottom w:val="single" w:color="000000" w:sz="4" w:space="0"/>
                  </w:tcBorders>
                  <w:vAlign w:val="center"/>
                </w:tcPr>
                <w:p>
                  <w:pPr>
                    <w:pStyle w:val="30"/>
                    <w:keepNext w:val="0"/>
                    <w:keepLines w:val="0"/>
                    <w:pageBreakBefore w:val="0"/>
                    <w:widowControl w:val="0"/>
                    <w:kinsoku/>
                    <w:wordWrap/>
                    <w:overflowPunct/>
                    <w:topLinePunct w:val="0"/>
                    <w:autoSpaceDE/>
                    <w:autoSpaceDN/>
                    <w:bidi w:val="0"/>
                    <w:adjustRightInd/>
                    <w:snapToGrid w:val="0"/>
                    <w:ind w:left="0" w:righ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10万m</w:t>
                  </w:r>
                  <w:r>
                    <w:rPr>
                      <w:rStyle w:val="37"/>
                      <w:rFonts w:hint="default" w:ascii="Times New Roman" w:hAnsi="Times New Roman" w:cs="Times New Roman"/>
                      <w:vertAlign w:val="superscript"/>
                    </w:rPr>
                    <w:t>3</w:t>
                  </w:r>
                  <w:r>
                    <w:rPr>
                      <w:rFonts w:hint="default" w:ascii="Times New Roman" w:hAnsi="Times New Roman" w:eastAsia="仿宋_GB2312" w:cs="Times New Roman"/>
                      <w:sz w:val="21"/>
                      <w:szCs w:val="21"/>
                    </w:rPr>
                    <w:t>/a</w:t>
                  </w:r>
                </w:p>
              </w:tc>
              <w:tc>
                <w:tcPr>
                  <w:tcW w:w="1730" w:type="pct"/>
                  <w:tcBorders>
                    <w:top w:val="single" w:color="000000" w:sz="4" w:space="0"/>
                    <w:left w:val="single" w:color="000000" w:sz="4" w:space="0"/>
                    <w:bottom w:val="single" w:color="000000" w:sz="4" w:space="0"/>
                  </w:tcBorders>
                  <w:vAlign w:val="center"/>
                </w:tcPr>
                <w:p>
                  <w:pPr>
                    <w:pStyle w:val="30"/>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eastAsia" w:ascii="Times New Roman" w:hAnsi="Times New Roman" w:eastAsia="仿宋_GB2312" w:cs="Times New Roman"/>
                      <w:color w:val="auto"/>
                      <w:sz w:val="21"/>
                      <w:szCs w:val="21"/>
                      <w:lang w:eastAsia="zh-CN"/>
                    </w:rPr>
                  </w:pPr>
                  <w:r>
                    <w:rPr>
                      <w:rFonts w:hint="eastAsia" w:ascii="Times New Roman" w:hAnsi="Times New Roman" w:eastAsia="仿宋_GB2312" w:cs="Times New Roman"/>
                      <w:color w:val="auto"/>
                      <w:sz w:val="21"/>
                      <w:szCs w:val="21"/>
                      <w:lang w:val="en-US" w:eastAsia="zh-CN"/>
                    </w:rPr>
                    <w:t>0</w:t>
                  </w:r>
                </w:p>
              </w:tc>
              <w:tc>
                <w:tcPr>
                  <w:tcW w:w="646" w:type="pct"/>
                  <w:vMerge w:val="continue"/>
                  <w:tcBorders>
                    <w:left w:val="single" w:color="000000" w:sz="4" w:space="0"/>
                  </w:tcBorders>
                  <w:vAlign w:val="center"/>
                </w:tcPr>
                <w:p>
                  <w:pPr>
                    <w:pStyle w:val="30"/>
                    <w:keepNext w:val="0"/>
                    <w:keepLines w:val="0"/>
                    <w:pageBreakBefore w:val="0"/>
                    <w:widowControl w:val="0"/>
                    <w:kinsoku/>
                    <w:wordWrap/>
                    <w:overflowPunct/>
                    <w:topLinePunct w:val="0"/>
                    <w:autoSpaceDE/>
                    <w:autoSpaceDN/>
                    <w:bidi w:val="0"/>
                    <w:adjustRightInd/>
                    <w:snapToGrid w:val="0"/>
                    <w:ind w:left="0" w:right="0"/>
                    <w:jc w:val="center"/>
                    <w:textAlignment w:val="auto"/>
                    <w:rPr>
                      <w:rFonts w:hint="eastAsia" w:ascii="仿宋_GB2312" w:hAnsi="仿宋_GB2312" w:eastAsia="仿宋_GB2312" w:cs="仿宋_GB2312"/>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634" w:type="pct"/>
                  <w:tcBorders>
                    <w:top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autoSpaceDN/>
                    <w:bidi w:val="0"/>
                    <w:adjustRightInd/>
                    <w:snapToGrid w:val="0"/>
                    <w:ind w:left="0" w:right="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混凝土生产线</w:t>
                  </w:r>
                </w:p>
              </w:tc>
              <w:tc>
                <w:tcPr>
                  <w:tcW w:w="575"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autoSpaceDN/>
                    <w:bidi w:val="0"/>
                    <w:adjustRightInd/>
                    <w:snapToGrid w:val="0"/>
                    <w:ind w:left="0" w:right="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商品混凝土</w:t>
                  </w:r>
                </w:p>
              </w:tc>
              <w:tc>
                <w:tcPr>
                  <w:tcW w:w="1412" w:type="pct"/>
                  <w:tcBorders>
                    <w:top w:val="single" w:color="000000" w:sz="4" w:space="0"/>
                    <w:left w:val="single" w:color="000000" w:sz="4" w:space="0"/>
                    <w:bottom w:val="single" w:color="000000" w:sz="4" w:space="0"/>
                  </w:tcBorders>
                  <w:vAlign w:val="center"/>
                </w:tcPr>
                <w:p>
                  <w:pPr>
                    <w:pStyle w:val="30"/>
                    <w:keepNext w:val="0"/>
                    <w:keepLines w:val="0"/>
                    <w:pageBreakBefore w:val="0"/>
                    <w:widowControl w:val="0"/>
                    <w:kinsoku/>
                    <w:wordWrap/>
                    <w:overflowPunct/>
                    <w:topLinePunct w:val="0"/>
                    <w:autoSpaceDE/>
                    <w:autoSpaceDN/>
                    <w:bidi w:val="0"/>
                    <w:adjustRightInd/>
                    <w:snapToGrid w:val="0"/>
                    <w:spacing w:line="240" w:lineRule="atLeast"/>
                    <w:ind w:left="0" w:righ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23万</w:t>
                  </w:r>
                  <w:r>
                    <w:rPr>
                      <w:rFonts w:hint="default" w:ascii="Times New Roman" w:hAnsi="Times New Roman" w:eastAsia="仿宋_GB2312" w:cs="Times New Roman"/>
                      <w:sz w:val="21"/>
                      <w:szCs w:val="21"/>
                    </w:rPr>
                    <w:t>m</w:t>
                  </w:r>
                  <w:r>
                    <w:rPr>
                      <w:rStyle w:val="37"/>
                      <w:rFonts w:hint="default" w:ascii="Times New Roman" w:hAnsi="Times New Roman" w:cs="Times New Roman"/>
                      <w:vertAlign w:val="superscript"/>
                    </w:rPr>
                    <w:t>3</w:t>
                  </w:r>
                  <w:r>
                    <w:rPr>
                      <w:rFonts w:hint="default" w:ascii="Times New Roman" w:hAnsi="Times New Roman" w:eastAsia="仿宋_GB2312" w:cs="Times New Roman"/>
                      <w:sz w:val="21"/>
                      <w:szCs w:val="21"/>
                    </w:rPr>
                    <w:t>/a，其中13万</w:t>
                  </w:r>
                  <w:r>
                    <w:rPr>
                      <w:rFonts w:hint="default" w:ascii="Times New Roman" w:hAnsi="Times New Roman" w:eastAsia="仿宋_GB2312" w:cs="Times New Roman"/>
                      <w:sz w:val="21"/>
                      <w:szCs w:val="21"/>
                    </w:rPr>
                    <w:t>m</w:t>
                  </w:r>
                  <w:r>
                    <w:rPr>
                      <w:rStyle w:val="37"/>
                      <w:rFonts w:hint="default" w:ascii="Times New Roman" w:hAnsi="Times New Roman" w:cs="Times New Roman"/>
                      <w:vertAlign w:val="superscript"/>
                    </w:rPr>
                    <w:t>3</w:t>
                  </w:r>
                  <w:r>
                    <w:rPr>
                      <w:rFonts w:hint="default" w:ascii="Times New Roman" w:hAnsi="Times New Roman" w:eastAsia="仿宋_GB2312" w:cs="Times New Roman"/>
                      <w:sz w:val="21"/>
                      <w:szCs w:val="21"/>
                    </w:rPr>
                    <w:t>用于生产PC预制构件</w:t>
                  </w:r>
                </w:p>
              </w:tc>
              <w:tc>
                <w:tcPr>
                  <w:tcW w:w="1730" w:type="pct"/>
                  <w:tcBorders>
                    <w:top w:val="single" w:color="000000" w:sz="4" w:space="0"/>
                    <w:left w:val="single" w:color="000000" w:sz="4" w:space="0"/>
                    <w:bottom w:val="single" w:color="000000" w:sz="4" w:space="0"/>
                  </w:tcBorders>
                  <w:vAlign w:val="center"/>
                </w:tcPr>
                <w:p>
                  <w:pPr>
                    <w:pStyle w:val="30"/>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23万</w:t>
                  </w:r>
                  <w:r>
                    <w:rPr>
                      <w:rFonts w:hint="default" w:ascii="Times New Roman" w:hAnsi="Times New Roman" w:eastAsia="仿宋_GB2312" w:cs="Times New Roman"/>
                      <w:color w:val="auto"/>
                      <w:sz w:val="21"/>
                      <w:szCs w:val="21"/>
                    </w:rPr>
                    <w:t>m</w:t>
                  </w:r>
                  <w:r>
                    <w:rPr>
                      <w:rStyle w:val="37"/>
                      <w:rFonts w:hint="default" w:ascii="Times New Roman" w:hAnsi="Times New Roman" w:cs="Times New Roman"/>
                      <w:color w:val="auto"/>
                      <w:vertAlign w:val="superscript"/>
                    </w:rPr>
                    <w:t>3</w:t>
                  </w:r>
                  <w:r>
                    <w:rPr>
                      <w:rFonts w:hint="default" w:ascii="Times New Roman" w:hAnsi="Times New Roman" w:eastAsia="仿宋_GB2312" w:cs="Times New Roman"/>
                      <w:color w:val="auto"/>
                      <w:sz w:val="21"/>
                      <w:szCs w:val="21"/>
                    </w:rPr>
                    <w:t>/a，其中</w:t>
                  </w:r>
                  <w:r>
                    <w:rPr>
                      <w:rFonts w:hint="eastAsia" w:ascii="Times New Roman" w:hAnsi="Times New Roman" w:eastAsia="仿宋_GB2312" w:cs="Times New Roman"/>
                      <w:color w:val="auto"/>
                      <w:sz w:val="21"/>
                      <w:szCs w:val="21"/>
                      <w:lang w:val="en-US" w:eastAsia="zh-CN"/>
                    </w:rPr>
                    <w:t>3</w:t>
                  </w:r>
                  <w:r>
                    <w:rPr>
                      <w:rFonts w:hint="default" w:ascii="Times New Roman" w:hAnsi="Times New Roman" w:eastAsia="仿宋_GB2312" w:cs="Times New Roman"/>
                      <w:color w:val="auto"/>
                      <w:sz w:val="21"/>
                      <w:szCs w:val="21"/>
                    </w:rPr>
                    <w:t>万</w:t>
                  </w:r>
                  <w:r>
                    <w:rPr>
                      <w:rFonts w:hint="default" w:ascii="Times New Roman" w:hAnsi="Times New Roman" w:eastAsia="仿宋_GB2312" w:cs="Times New Roman"/>
                      <w:color w:val="auto"/>
                      <w:sz w:val="21"/>
                      <w:szCs w:val="21"/>
                    </w:rPr>
                    <w:t>m</w:t>
                  </w:r>
                  <w:r>
                    <w:rPr>
                      <w:rStyle w:val="37"/>
                      <w:rFonts w:hint="default" w:ascii="Times New Roman" w:hAnsi="Times New Roman" w:cs="Times New Roman"/>
                      <w:color w:val="auto"/>
                      <w:vertAlign w:val="superscript"/>
                    </w:rPr>
                    <w:t>3</w:t>
                  </w:r>
                  <w:r>
                    <w:rPr>
                      <w:rFonts w:hint="default" w:ascii="Times New Roman" w:hAnsi="Times New Roman" w:eastAsia="仿宋_GB2312" w:cs="Times New Roman"/>
                      <w:color w:val="auto"/>
                      <w:sz w:val="21"/>
                      <w:szCs w:val="21"/>
                    </w:rPr>
                    <w:t>用于生产PC预制构件</w:t>
                  </w:r>
                </w:p>
              </w:tc>
              <w:tc>
                <w:tcPr>
                  <w:tcW w:w="646" w:type="pct"/>
                  <w:vMerge w:val="continue"/>
                  <w:tcBorders>
                    <w:left w:val="single" w:color="000000" w:sz="4" w:space="0"/>
                  </w:tcBorders>
                  <w:vAlign w:val="center"/>
                </w:tcPr>
                <w:p>
                  <w:pPr>
                    <w:pStyle w:val="30"/>
                    <w:keepNext w:val="0"/>
                    <w:keepLines w:val="0"/>
                    <w:pageBreakBefore w:val="0"/>
                    <w:widowControl w:val="0"/>
                    <w:kinsoku/>
                    <w:wordWrap/>
                    <w:overflowPunct/>
                    <w:topLinePunct w:val="0"/>
                    <w:autoSpaceDE/>
                    <w:autoSpaceDN/>
                    <w:bidi w:val="0"/>
                    <w:adjustRightInd/>
                    <w:snapToGrid w:val="0"/>
                    <w:ind w:left="0" w:right="0"/>
                    <w:jc w:val="center"/>
                    <w:textAlignment w:val="auto"/>
                    <w:rPr>
                      <w:rFonts w:hint="eastAsia" w:ascii="仿宋_GB2312" w:hAnsi="仿宋_GB2312" w:eastAsia="仿宋_GB2312" w:cs="仿宋_GB2312"/>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634" w:type="pct"/>
                  <w:tcBorders>
                    <w:top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autoSpaceDN/>
                    <w:bidi w:val="0"/>
                    <w:adjustRightInd/>
                    <w:snapToGrid w:val="0"/>
                    <w:ind w:left="0" w:right="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PC预制件生产线</w:t>
                  </w:r>
                </w:p>
              </w:tc>
              <w:tc>
                <w:tcPr>
                  <w:tcW w:w="575" w:type="pct"/>
                  <w:tcBorders>
                    <w:top w:val="single" w:color="000000" w:sz="4" w:space="0"/>
                    <w:left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autoSpaceDN/>
                    <w:bidi w:val="0"/>
                    <w:adjustRightInd/>
                    <w:snapToGrid w:val="0"/>
                    <w:ind w:left="0" w:right="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PC预制构件</w:t>
                  </w:r>
                </w:p>
              </w:tc>
              <w:tc>
                <w:tcPr>
                  <w:tcW w:w="1412" w:type="pct"/>
                  <w:tcBorders>
                    <w:top w:val="single" w:color="000000" w:sz="4" w:space="0"/>
                    <w:left w:val="single" w:color="000000" w:sz="4" w:space="0"/>
                  </w:tcBorders>
                  <w:vAlign w:val="center"/>
                </w:tcPr>
                <w:p>
                  <w:pPr>
                    <w:pStyle w:val="30"/>
                    <w:keepNext w:val="0"/>
                    <w:keepLines w:val="0"/>
                    <w:pageBreakBefore w:val="0"/>
                    <w:widowControl w:val="0"/>
                    <w:kinsoku/>
                    <w:wordWrap/>
                    <w:overflowPunct/>
                    <w:topLinePunct w:val="0"/>
                    <w:autoSpaceDE/>
                    <w:autoSpaceDN/>
                    <w:bidi w:val="0"/>
                    <w:adjustRightInd/>
                    <w:snapToGrid w:val="0"/>
                    <w:ind w:left="0" w:righ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15万</w:t>
                  </w:r>
                  <w:r>
                    <w:rPr>
                      <w:rFonts w:hint="default" w:ascii="Times New Roman" w:hAnsi="Times New Roman" w:eastAsia="仿宋_GB2312" w:cs="Times New Roman"/>
                      <w:sz w:val="21"/>
                      <w:szCs w:val="21"/>
                    </w:rPr>
                    <w:t>m</w:t>
                  </w:r>
                  <w:r>
                    <w:rPr>
                      <w:rStyle w:val="37"/>
                      <w:rFonts w:hint="default" w:ascii="Times New Roman" w:hAnsi="Times New Roman" w:cs="Times New Roman"/>
                      <w:vertAlign w:val="superscript"/>
                    </w:rPr>
                    <w:t>3</w:t>
                  </w:r>
                  <w:r>
                    <w:rPr>
                      <w:rFonts w:hint="default" w:ascii="Times New Roman" w:hAnsi="Times New Roman" w:eastAsia="仿宋_GB2312" w:cs="Times New Roman"/>
                      <w:sz w:val="21"/>
                      <w:szCs w:val="21"/>
                    </w:rPr>
                    <w:t>/a</w:t>
                  </w:r>
                </w:p>
              </w:tc>
              <w:tc>
                <w:tcPr>
                  <w:tcW w:w="1730" w:type="pct"/>
                  <w:tcBorders>
                    <w:top w:val="single" w:color="000000" w:sz="4" w:space="0"/>
                    <w:left w:val="single" w:color="000000" w:sz="4" w:space="0"/>
                  </w:tcBorders>
                  <w:vAlign w:val="center"/>
                </w:tcPr>
                <w:p>
                  <w:pPr>
                    <w:pStyle w:val="30"/>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仿宋_GB2312" w:cs="Times New Roman"/>
                      <w:color w:val="auto"/>
                      <w:sz w:val="21"/>
                      <w:szCs w:val="21"/>
                    </w:rPr>
                  </w:pPr>
                  <w:r>
                    <w:rPr>
                      <w:rFonts w:hint="eastAsia" w:ascii="Times New Roman" w:hAnsi="Times New Roman" w:eastAsia="仿宋_GB2312" w:cs="Times New Roman"/>
                      <w:color w:val="auto"/>
                      <w:sz w:val="21"/>
                      <w:szCs w:val="21"/>
                      <w:lang w:val="en-US" w:eastAsia="zh-CN"/>
                    </w:rPr>
                    <w:t>4</w:t>
                  </w:r>
                  <w:r>
                    <w:rPr>
                      <w:rFonts w:hint="default" w:ascii="Times New Roman" w:hAnsi="Times New Roman" w:eastAsia="仿宋_GB2312" w:cs="Times New Roman"/>
                      <w:color w:val="auto"/>
                      <w:sz w:val="21"/>
                      <w:szCs w:val="21"/>
                    </w:rPr>
                    <w:t>万</w:t>
                  </w:r>
                  <w:r>
                    <w:rPr>
                      <w:rFonts w:hint="default" w:ascii="Times New Roman" w:hAnsi="Times New Roman" w:eastAsia="仿宋_GB2312" w:cs="Times New Roman"/>
                      <w:color w:val="auto"/>
                      <w:sz w:val="21"/>
                      <w:szCs w:val="21"/>
                    </w:rPr>
                    <w:t>m</w:t>
                  </w:r>
                  <w:r>
                    <w:rPr>
                      <w:rStyle w:val="37"/>
                      <w:rFonts w:hint="default" w:ascii="Times New Roman" w:hAnsi="Times New Roman" w:cs="Times New Roman"/>
                      <w:color w:val="auto"/>
                      <w:vertAlign w:val="superscript"/>
                    </w:rPr>
                    <w:t>3</w:t>
                  </w:r>
                  <w:r>
                    <w:rPr>
                      <w:rFonts w:hint="default" w:ascii="Times New Roman" w:hAnsi="Times New Roman" w:eastAsia="仿宋_GB2312" w:cs="Times New Roman"/>
                      <w:color w:val="auto"/>
                      <w:sz w:val="21"/>
                      <w:szCs w:val="21"/>
                    </w:rPr>
                    <w:t>/a</w:t>
                  </w:r>
                </w:p>
              </w:tc>
              <w:tc>
                <w:tcPr>
                  <w:tcW w:w="646" w:type="pct"/>
                  <w:vMerge w:val="continue"/>
                  <w:tcBorders>
                    <w:left w:val="single" w:color="000000" w:sz="4" w:space="0"/>
                  </w:tcBorders>
                  <w:vAlign w:val="center"/>
                </w:tcPr>
                <w:p>
                  <w:pPr>
                    <w:pStyle w:val="30"/>
                    <w:keepNext w:val="0"/>
                    <w:keepLines w:val="0"/>
                    <w:pageBreakBefore w:val="0"/>
                    <w:widowControl w:val="0"/>
                    <w:kinsoku/>
                    <w:wordWrap/>
                    <w:overflowPunct/>
                    <w:topLinePunct w:val="0"/>
                    <w:autoSpaceDE/>
                    <w:autoSpaceDN/>
                    <w:bidi w:val="0"/>
                    <w:adjustRightInd/>
                    <w:snapToGrid w:val="0"/>
                    <w:ind w:left="0" w:right="0"/>
                    <w:jc w:val="center"/>
                    <w:textAlignment w:val="auto"/>
                    <w:rPr>
                      <w:rFonts w:hint="eastAsia" w:ascii="仿宋_GB2312" w:hAnsi="仿宋_GB2312" w:eastAsia="仿宋_GB2312" w:cs="仿宋_GB2312"/>
                      <w:sz w:val="21"/>
                      <w:szCs w:val="21"/>
                    </w:rPr>
                  </w:pPr>
                </w:p>
              </w:tc>
            </w:tr>
          </w:tbl>
          <w:p>
            <w:pPr>
              <w:keepNext w:val="0"/>
              <w:keepLines w:val="0"/>
              <w:pageBreakBefore w:val="0"/>
              <w:widowControl w:val="0"/>
              <w:kinsoku/>
              <w:wordWrap/>
              <w:overflowPunct/>
              <w:topLinePunct w:val="0"/>
              <w:autoSpaceDE/>
              <w:autoSpaceDN/>
              <w:bidi w:val="0"/>
              <w:adjustRightInd/>
              <w:snapToGrid/>
              <w:spacing w:before="157" w:beforeLines="50" w:line="480" w:lineRule="exact"/>
              <w:jc w:val="center"/>
              <w:textAlignment w:val="auto"/>
              <w:outlineLvl w:val="9"/>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color w:val="auto"/>
                <w:sz w:val="28"/>
                <w:szCs w:val="28"/>
                <w:lang w:eastAsia="zh-CN"/>
              </w:rPr>
              <w:t>表</w:t>
            </w:r>
            <w:r>
              <w:rPr>
                <w:rFonts w:hint="eastAsia" w:ascii="仿宋_GB2312" w:hAnsi="仿宋_GB2312" w:eastAsia="仿宋_GB2312" w:cs="仿宋_GB2312"/>
                <w:b/>
                <w:color w:val="auto"/>
                <w:sz w:val="28"/>
                <w:szCs w:val="28"/>
                <w:lang w:val="en-US" w:eastAsia="zh-CN"/>
              </w:rPr>
              <w:t>2-2</w:t>
            </w:r>
            <w:r>
              <w:rPr>
                <w:rFonts w:hint="eastAsia" w:ascii="仿宋_GB2312" w:hAnsi="仿宋_GB2312" w:eastAsia="仿宋_GB2312" w:cs="仿宋_GB2312"/>
                <w:b/>
                <w:color w:val="auto"/>
                <w:sz w:val="28"/>
                <w:szCs w:val="28"/>
              </w:rPr>
              <w:t>主体工程、储运工程、公辅工程、环保工程建设内容表</w:t>
            </w:r>
          </w:p>
          <w:tbl>
            <w:tblPr>
              <w:tblStyle w:val="16"/>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83"/>
              <w:gridCol w:w="1434"/>
              <w:gridCol w:w="5479"/>
              <w:gridCol w:w="1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3" w:hRule="atLeast"/>
              </w:trPr>
              <w:tc>
                <w:tcPr>
                  <w:tcW w:w="368" w:type="pct"/>
                  <w:vAlign w:val="center"/>
                </w:tcPr>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
                      <w:w w:val="95"/>
                      <w:sz w:val="21"/>
                      <w:szCs w:val="21"/>
                    </w:rPr>
                    <w:t>工程</w:t>
                  </w:r>
                </w:p>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
                      <w:w w:val="95"/>
                      <w:sz w:val="21"/>
                      <w:szCs w:val="21"/>
                    </w:rPr>
                    <w:t>类别</w:t>
                  </w:r>
                </w:p>
              </w:tc>
              <w:tc>
                <w:tcPr>
                  <w:tcW w:w="772" w:type="pct"/>
                  <w:vAlign w:val="center"/>
                </w:tcPr>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工程名称</w:t>
                  </w:r>
                </w:p>
              </w:tc>
              <w:tc>
                <w:tcPr>
                  <w:tcW w:w="2950" w:type="pct"/>
                  <w:vAlign w:val="center"/>
                </w:tcPr>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环评设计</w:t>
                  </w:r>
                  <w:r>
                    <w:rPr>
                      <w:rFonts w:hint="eastAsia" w:ascii="仿宋_GB2312" w:hAnsi="仿宋_GB2312" w:eastAsia="仿宋_GB2312" w:cs="仿宋_GB2312"/>
                      <w:color w:val="auto"/>
                      <w:sz w:val="21"/>
                      <w:szCs w:val="21"/>
                    </w:rPr>
                    <w:t>主要内容</w:t>
                  </w:r>
                </w:p>
              </w:tc>
              <w:tc>
                <w:tcPr>
                  <w:tcW w:w="908" w:type="pct"/>
                  <w:vAlign w:val="center"/>
                </w:tcPr>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实际建设内容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368" w:type="pct"/>
                  <w:vMerge w:val="restart"/>
                  <w:vAlign w:val="center"/>
                </w:tcPr>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p>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p>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主体工程</w:t>
                  </w:r>
                </w:p>
              </w:tc>
              <w:tc>
                <w:tcPr>
                  <w:tcW w:w="772" w:type="pct"/>
                  <w:vAlign w:val="center"/>
                </w:tcPr>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搅拌楼1</w:t>
                  </w:r>
                </w:p>
              </w:tc>
              <w:tc>
                <w:tcPr>
                  <w:tcW w:w="2950" w:type="pct"/>
                  <w:vAlign w:val="center"/>
                </w:tcPr>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1栋3F，位于厂区中间区域，总建筑面积1987.2m</w:t>
                  </w:r>
                  <w:r>
                    <w:rPr>
                      <w:rFonts w:hint="eastAsia" w:ascii="Times New Roman" w:hAnsi="Times New Roman" w:eastAsia="仿宋_GB2312" w:cs="Times New Roman"/>
                      <w:sz w:val="21"/>
                      <w:szCs w:val="21"/>
                      <w:vertAlign w:val="superscript"/>
                    </w:rPr>
                    <w:t>2</w:t>
                  </w:r>
                  <w:r>
                    <w:rPr>
                      <w:rFonts w:hint="eastAsia" w:ascii="仿宋_GB2312" w:hAnsi="仿宋_GB2312" w:eastAsia="仿宋_GB2312" w:cs="仿宋_GB2312"/>
                      <w:color w:val="auto"/>
                      <w:sz w:val="21"/>
                      <w:szCs w:val="21"/>
                    </w:rPr>
                    <w:t>，用于湿拌砂浆和商品</w:t>
                  </w:r>
                  <w:r>
                    <w:rPr>
                      <w:rFonts w:hint="eastAsia" w:ascii="仿宋_GB2312" w:hAnsi="仿宋_GB2312" w:eastAsia="仿宋_GB2312" w:cs="仿宋_GB2312"/>
                      <w:color w:val="auto"/>
                      <w:spacing w:val="-10"/>
                      <w:sz w:val="21"/>
                      <w:szCs w:val="21"/>
                    </w:rPr>
                    <w:t>混凝土的生产，建成后可年产</w:t>
                  </w:r>
                  <w:r>
                    <w:rPr>
                      <w:rFonts w:hint="eastAsia" w:ascii="仿宋_GB2312" w:hAnsi="仿宋_GB2312" w:eastAsia="仿宋_GB2312" w:cs="仿宋_GB2312"/>
                      <w:color w:val="auto"/>
                      <w:sz w:val="21"/>
                      <w:szCs w:val="21"/>
                    </w:rPr>
                    <w:t>10</w:t>
                  </w:r>
                  <w:r>
                    <w:rPr>
                      <w:rFonts w:hint="eastAsia" w:ascii="仿宋_GB2312" w:hAnsi="仿宋_GB2312" w:eastAsia="仿宋_GB2312" w:cs="仿宋_GB2312"/>
                      <w:color w:val="auto"/>
                      <w:spacing w:val="-7"/>
                      <w:sz w:val="21"/>
                      <w:szCs w:val="21"/>
                    </w:rPr>
                    <w:t>万立方湿拌砂浆和</w:t>
                  </w:r>
                  <w:r>
                    <w:rPr>
                      <w:rFonts w:hint="eastAsia" w:ascii="仿宋_GB2312" w:hAnsi="仿宋_GB2312" w:eastAsia="仿宋_GB2312" w:cs="仿宋_GB2312"/>
                      <w:color w:val="auto"/>
                      <w:sz w:val="21"/>
                      <w:szCs w:val="21"/>
                    </w:rPr>
                    <w:t>10万立方商品混凝土；</w:t>
                  </w:r>
                </w:p>
              </w:tc>
              <w:tc>
                <w:tcPr>
                  <w:tcW w:w="908" w:type="pct"/>
                  <w:vAlign w:val="center"/>
                </w:tcPr>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default" w:ascii="仿宋_GB2312" w:hAnsi="仿宋_GB2312" w:eastAsia="仿宋_GB2312" w:cs="仿宋_GB2312"/>
                      <w:color w:val="auto"/>
                      <w:spacing w:val="-10"/>
                      <w:sz w:val="21"/>
                      <w:szCs w:val="21"/>
                      <w:lang w:val="en-US" w:eastAsia="zh-CN"/>
                    </w:rPr>
                  </w:pPr>
                  <w:r>
                    <w:rPr>
                      <w:rFonts w:hint="eastAsia" w:ascii="仿宋_GB2312" w:hAnsi="仿宋_GB2312" w:eastAsia="仿宋_GB2312" w:cs="仿宋_GB2312"/>
                      <w:color w:val="auto"/>
                      <w:spacing w:val="-1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3" w:hRule="atLeast"/>
              </w:trPr>
              <w:tc>
                <w:tcPr>
                  <w:tcW w:w="368" w:type="pct"/>
                  <w:vMerge w:val="continue"/>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p>
              </w:tc>
              <w:tc>
                <w:tcPr>
                  <w:tcW w:w="772" w:type="pct"/>
                  <w:vAlign w:val="center"/>
                </w:tcPr>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搅拌楼2</w:t>
                  </w:r>
                </w:p>
              </w:tc>
              <w:tc>
                <w:tcPr>
                  <w:tcW w:w="2950" w:type="pct"/>
                  <w:vAlign w:val="center"/>
                </w:tcPr>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1栋3F，位于厂区中间区域，搅拌楼1左侧，总建筑面积1766.4m</w:t>
                  </w:r>
                  <w:r>
                    <w:rPr>
                      <w:rFonts w:hint="eastAsia" w:ascii="Times New Roman" w:hAnsi="Times New Roman" w:eastAsia="仿宋_GB2312" w:cs="Times New Roman"/>
                      <w:sz w:val="21"/>
                      <w:szCs w:val="21"/>
                      <w:vertAlign w:val="superscript"/>
                    </w:rPr>
                    <w:t>2</w:t>
                  </w:r>
                  <w:r>
                    <w:rPr>
                      <w:rFonts w:hint="eastAsia" w:ascii="仿宋_GB2312" w:hAnsi="仿宋_GB2312" w:eastAsia="仿宋_GB2312" w:cs="仿宋_GB2312"/>
                      <w:color w:val="auto"/>
                      <w:sz w:val="21"/>
                      <w:szCs w:val="21"/>
                    </w:rPr>
                    <w:t>，用于干混砂浆的生产，建成后可年产10万立方干混砂浆；</w:t>
                  </w:r>
                </w:p>
              </w:tc>
              <w:tc>
                <w:tcPr>
                  <w:tcW w:w="908" w:type="pct"/>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0"/>
                      <w:sz w:val="21"/>
                      <w:szCs w:val="21"/>
                      <w:lang w:val="en-US" w:eastAsia="zh-CN"/>
                    </w:rPr>
                    <w:t>未建设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368" w:type="pct"/>
                  <w:vMerge w:val="continue"/>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p>
              </w:tc>
              <w:tc>
                <w:tcPr>
                  <w:tcW w:w="772" w:type="pct"/>
                  <w:vAlign w:val="center"/>
                </w:tcPr>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PC预制构件生</w:t>
                  </w:r>
                </w:p>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产区</w:t>
                  </w:r>
                </w:p>
              </w:tc>
              <w:tc>
                <w:tcPr>
                  <w:tcW w:w="2950" w:type="pct"/>
                  <w:vAlign w:val="center"/>
                </w:tcPr>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位于料仓西侧，总建筑面积300m</w:t>
                  </w:r>
                  <w:r>
                    <w:rPr>
                      <w:rFonts w:hint="eastAsia" w:ascii="Times New Roman" w:hAnsi="Times New Roman" w:eastAsia="仿宋_GB2312" w:cs="Times New Roman"/>
                      <w:sz w:val="21"/>
                      <w:szCs w:val="21"/>
                      <w:vertAlign w:val="superscript"/>
                    </w:rPr>
                    <w:t>2</w:t>
                  </w:r>
                  <w:r>
                    <w:rPr>
                      <w:rFonts w:hint="eastAsia" w:ascii="仿宋_GB2312" w:hAnsi="仿宋_GB2312" w:eastAsia="仿宋_GB2312" w:cs="仿宋_GB2312"/>
                      <w:color w:val="auto"/>
                      <w:sz w:val="21"/>
                      <w:szCs w:val="21"/>
                    </w:rPr>
                    <w:t>，用于PC预制构件生产，厂房内配备相应生产设备；</w:t>
                  </w:r>
                </w:p>
              </w:tc>
              <w:tc>
                <w:tcPr>
                  <w:tcW w:w="908" w:type="pct"/>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0" w:hRule="atLeast"/>
              </w:trPr>
              <w:tc>
                <w:tcPr>
                  <w:tcW w:w="368" w:type="pct"/>
                  <w:vMerge w:val="restart"/>
                  <w:vAlign w:val="center"/>
                </w:tcPr>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p>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储运工程</w:t>
                  </w:r>
                </w:p>
              </w:tc>
              <w:tc>
                <w:tcPr>
                  <w:tcW w:w="772" w:type="pct"/>
                  <w:vAlign w:val="center"/>
                </w:tcPr>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p>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仓库（料仓）</w:t>
                  </w:r>
                </w:p>
              </w:tc>
              <w:tc>
                <w:tcPr>
                  <w:tcW w:w="2950" w:type="pct"/>
                  <w:vAlign w:val="center"/>
                </w:tcPr>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1栋1F，位于厂区南侧，总建筑面积7015.68m</w:t>
                  </w:r>
                  <w:r>
                    <w:rPr>
                      <w:rFonts w:hint="eastAsia" w:ascii="Times New Roman" w:hAnsi="Times New Roman" w:eastAsia="仿宋_GB2312" w:cs="Times New Roman"/>
                      <w:sz w:val="21"/>
                      <w:szCs w:val="21"/>
                      <w:vertAlign w:val="superscript"/>
                    </w:rPr>
                    <w:t>2</w:t>
                  </w:r>
                  <w:r>
                    <w:rPr>
                      <w:rFonts w:hint="eastAsia" w:ascii="仿宋_GB2312" w:hAnsi="仿宋_GB2312" w:eastAsia="仿宋_GB2312" w:cs="仿宋_GB2312"/>
                      <w:color w:val="auto"/>
                      <w:sz w:val="21"/>
                      <w:szCs w:val="21"/>
                    </w:rPr>
                    <w:t>，西侧区域用于PC预制构件生产，其他区域用于堆放石子、黄沙等原料；</w:t>
                  </w:r>
                </w:p>
              </w:tc>
              <w:tc>
                <w:tcPr>
                  <w:tcW w:w="908" w:type="pct"/>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0" w:hRule="atLeast"/>
              </w:trPr>
              <w:tc>
                <w:tcPr>
                  <w:tcW w:w="368" w:type="pct"/>
                  <w:vMerge w:val="continue"/>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p>
              </w:tc>
              <w:tc>
                <w:tcPr>
                  <w:tcW w:w="772" w:type="pct"/>
                  <w:vAlign w:val="center"/>
                </w:tcPr>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水泥、粉煤灰储</w:t>
                  </w:r>
                </w:p>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w w:val="99"/>
                      <w:sz w:val="21"/>
                      <w:szCs w:val="21"/>
                    </w:rPr>
                    <w:t>罐</w:t>
                  </w:r>
                </w:p>
              </w:tc>
              <w:tc>
                <w:tcPr>
                  <w:tcW w:w="2950" w:type="pct"/>
                  <w:vAlign w:val="center"/>
                </w:tcPr>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4"/>
                      <w:sz w:val="21"/>
                      <w:szCs w:val="21"/>
                    </w:rPr>
                    <w:t>搅拌楼</w:t>
                  </w:r>
                  <w:r>
                    <w:rPr>
                      <w:rFonts w:hint="eastAsia" w:ascii="仿宋_GB2312" w:hAnsi="仿宋_GB2312" w:eastAsia="仿宋_GB2312" w:cs="仿宋_GB2312"/>
                      <w:color w:val="auto"/>
                      <w:sz w:val="21"/>
                      <w:szCs w:val="21"/>
                    </w:rPr>
                    <w:t>1</w:t>
                  </w:r>
                  <w:r>
                    <w:rPr>
                      <w:rFonts w:hint="eastAsia" w:ascii="仿宋_GB2312" w:hAnsi="仿宋_GB2312" w:eastAsia="仿宋_GB2312" w:cs="仿宋_GB2312"/>
                      <w:color w:val="auto"/>
                      <w:spacing w:val="-11"/>
                      <w:sz w:val="21"/>
                      <w:szCs w:val="21"/>
                    </w:rPr>
                    <w:t>和搅拌楼</w:t>
                  </w:r>
                  <w:r>
                    <w:rPr>
                      <w:rFonts w:hint="eastAsia" w:ascii="仿宋_GB2312" w:hAnsi="仿宋_GB2312" w:eastAsia="仿宋_GB2312" w:cs="仿宋_GB2312"/>
                      <w:color w:val="auto"/>
                      <w:sz w:val="21"/>
                      <w:szCs w:val="21"/>
                    </w:rPr>
                    <w:t>2</w:t>
                  </w:r>
                  <w:r>
                    <w:rPr>
                      <w:rFonts w:hint="eastAsia" w:ascii="仿宋_GB2312" w:hAnsi="仿宋_GB2312" w:eastAsia="仿宋_GB2312" w:cs="仿宋_GB2312"/>
                      <w:color w:val="auto"/>
                      <w:spacing w:val="-28"/>
                      <w:sz w:val="21"/>
                      <w:szCs w:val="21"/>
                    </w:rPr>
                    <w:t>的</w:t>
                  </w:r>
                  <w:r>
                    <w:rPr>
                      <w:rFonts w:hint="eastAsia" w:ascii="仿宋_GB2312" w:hAnsi="仿宋_GB2312" w:eastAsia="仿宋_GB2312" w:cs="仿宋_GB2312"/>
                      <w:color w:val="auto"/>
                      <w:sz w:val="21"/>
                      <w:szCs w:val="21"/>
                    </w:rPr>
                    <w:t>1</w:t>
                  </w:r>
                  <w:r>
                    <w:rPr>
                      <w:rFonts w:hint="eastAsia" w:ascii="仿宋_GB2312" w:hAnsi="仿宋_GB2312" w:eastAsia="仿宋_GB2312" w:cs="仿宋_GB2312"/>
                      <w:color w:val="auto"/>
                      <w:spacing w:val="-10"/>
                      <w:sz w:val="21"/>
                      <w:szCs w:val="21"/>
                    </w:rPr>
                    <w:t>层分别布设</w:t>
                  </w:r>
                  <w:r>
                    <w:rPr>
                      <w:rFonts w:hint="eastAsia" w:ascii="仿宋_GB2312" w:hAnsi="仿宋_GB2312" w:eastAsia="仿宋_GB2312" w:cs="仿宋_GB2312"/>
                      <w:color w:val="auto"/>
                      <w:sz w:val="21"/>
                      <w:szCs w:val="21"/>
                    </w:rPr>
                    <w:t>4个储罐（</w:t>
                  </w:r>
                  <w:r>
                    <w:rPr>
                      <w:rFonts w:hint="eastAsia" w:ascii="仿宋_GB2312" w:hAnsi="仿宋_GB2312" w:eastAsia="仿宋_GB2312" w:cs="仿宋_GB2312"/>
                      <w:color w:val="auto"/>
                      <w:spacing w:val="-27"/>
                      <w:sz w:val="21"/>
                      <w:szCs w:val="21"/>
                    </w:rPr>
                    <w:t>共</w:t>
                  </w:r>
                  <w:r>
                    <w:rPr>
                      <w:rFonts w:hint="eastAsia" w:ascii="仿宋_GB2312" w:hAnsi="仿宋_GB2312" w:eastAsia="仿宋_GB2312" w:cs="仿宋_GB2312"/>
                      <w:color w:val="auto"/>
                      <w:sz w:val="21"/>
                      <w:szCs w:val="21"/>
                    </w:rPr>
                    <w:t>8个）分别存放水泥和粉煤灰，每个储罐直径4m，高度20m，单个储罐最大库存量300t。</w:t>
                  </w:r>
                </w:p>
              </w:tc>
              <w:tc>
                <w:tcPr>
                  <w:tcW w:w="908" w:type="pct"/>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4" w:hRule="atLeast"/>
              </w:trPr>
              <w:tc>
                <w:tcPr>
                  <w:tcW w:w="368" w:type="pct"/>
                  <w:vMerge w:val="restart"/>
                  <w:vAlign w:val="center"/>
                </w:tcPr>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p>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p>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配套工程</w:t>
                  </w:r>
                </w:p>
              </w:tc>
              <w:tc>
                <w:tcPr>
                  <w:tcW w:w="772" w:type="pct"/>
                  <w:vAlign w:val="center"/>
                </w:tcPr>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办公楼</w:t>
                  </w:r>
                </w:p>
              </w:tc>
              <w:tc>
                <w:tcPr>
                  <w:tcW w:w="2950" w:type="pct"/>
                  <w:vAlign w:val="center"/>
                </w:tcPr>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1栋3F，位于厂区东北侧，总建筑面积1183.5m</w:t>
                  </w:r>
                  <w:r>
                    <w:rPr>
                      <w:rFonts w:hint="eastAsia" w:ascii="Times New Roman" w:hAnsi="Times New Roman" w:eastAsia="仿宋_GB2312" w:cs="Times New Roman"/>
                      <w:sz w:val="21"/>
                      <w:szCs w:val="21"/>
                      <w:vertAlign w:val="superscript"/>
                    </w:rPr>
                    <w:t>2</w:t>
                  </w:r>
                  <w:r>
                    <w:rPr>
                      <w:rFonts w:hint="eastAsia" w:ascii="仿宋_GB2312" w:hAnsi="仿宋_GB2312" w:eastAsia="仿宋_GB2312" w:cs="仿宋_GB2312"/>
                      <w:color w:val="auto"/>
                      <w:sz w:val="21"/>
                      <w:szCs w:val="21"/>
                    </w:rPr>
                    <w:t>，用于会议、办公等；</w:t>
                  </w:r>
                </w:p>
              </w:tc>
              <w:tc>
                <w:tcPr>
                  <w:tcW w:w="908" w:type="pct"/>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 w:hRule="atLeast"/>
              </w:trPr>
              <w:tc>
                <w:tcPr>
                  <w:tcW w:w="368" w:type="pct"/>
                  <w:vMerge w:val="continue"/>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p>
              </w:tc>
              <w:tc>
                <w:tcPr>
                  <w:tcW w:w="772" w:type="pct"/>
                  <w:vAlign w:val="center"/>
                </w:tcPr>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研发中心楼</w:t>
                  </w:r>
                </w:p>
              </w:tc>
              <w:tc>
                <w:tcPr>
                  <w:tcW w:w="2950" w:type="pct"/>
                  <w:vAlign w:val="center"/>
                </w:tcPr>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w:t>
                  </w:r>
                  <w:r>
                    <w:rPr>
                      <w:rFonts w:hint="eastAsia" w:ascii="仿宋_GB2312" w:hAnsi="仿宋_GB2312" w:eastAsia="仿宋_GB2312" w:cs="仿宋_GB2312"/>
                      <w:color w:val="auto"/>
                      <w:spacing w:val="-29"/>
                      <w:sz w:val="21"/>
                      <w:szCs w:val="21"/>
                    </w:rPr>
                    <w:t>栋</w:t>
                  </w:r>
                  <w:r>
                    <w:rPr>
                      <w:rFonts w:hint="eastAsia" w:ascii="仿宋_GB2312" w:hAnsi="仿宋_GB2312" w:eastAsia="仿宋_GB2312" w:cs="仿宋_GB2312"/>
                      <w:color w:val="auto"/>
                      <w:spacing w:val="-7"/>
                      <w:sz w:val="21"/>
                      <w:szCs w:val="21"/>
                    </w:rPr>
                    <w:t>3F</w:t>
                  </w:r>
                  <w:r>
                    <w:rPr>
                      <w:rFonts w:hint="eastAsia" w:ascii="仿宋_GB2312" w:hAnsi="仿宋_GB2312" w:eastAsia="仿宋_GB2312" w:cs="仿宋_GB2312"/>
                      <w:color w:val="auto"/>
                      <w:spacing w:val="-10"/>
                      <w:sz w:val="21"/>
                      <w:szCs w:val="21"/>
                    </w:rPr>
                    <w:t>，位于厂区西北侧，总建筑面积</w:t>
                  </w:r>
                  <w:r>
                    <w:rPr>
                      <w:rFonts w:hint="eastAsia" w:ascii="仿宋_GB2312" w:hAnsi="仿宋_GB2312" w:eastAsia="仿宋_GB2312" w:cs="仿宋_GB2312"/>
                      <w:color w:val="auto"/>
                      <w:spacing w:val="-4"/>
                      <w:sz w:val="21"/>
                      <w:szCs w:val="21"/>
                    </w:rPr>
                    <w:t>1183.5m</w:t>
                  </w:r>
                  <w:r>
                    <w:rPr>
                      <w:rFonts w:hint="eastAsia" w:ascii="Times New Roman" w:hAnsi="Times New Roman" w:eastAsia="仿宋_GB2312" w:cs="Times New Roman"/>
                      <w:sz w:val="21"/>
                      <w:szCs w:val="21"/>
                      <w:vertAlign w:val="superscript"/>
                    </w:rPr>
                    <w:t>2</w:t>
                  </w:r>
                  <w:r>
                    <w:rPr>
                      <w:rFonts w:hint="eastAsia" w:ascii="仿宋_GB2312" w:hAnsi="仿宋_GB2312" w:eastAsia="仿宋_GB2312" w:cs="仿宋_GB2312"/>
                      <w:color w:val="auto"/>
                      <w:spacing w:val="-2"/>
                      <w:sz w:val="21"/>
                      <w:szCs w:val="21"/>
                    </w:rPr>
                    <w:t>，用于产品检验和研发等；</w:t>
                  </w:r>
                </w:p>
              </w:tc>
              <w:tc>
                <w:tcPr>
                  <w:tcW w:w="908" w:type="pct"/>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trPr>
              <w:tc>
                <w:tcPr>
                  <w:tcW w:w="368" w:type="pct"/>
                  <w:vMerge w:val="continue"/>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p>
              </w:tc>
              <w:tc>
                <w:tcPr>
                  <w:tcW w:w="772" w:type="pct"/>
                  <w:vAlign w:val="center"/>
                </w:tcPr>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门卫</w:t>
                  </w:r>
                </w:p>
              </w:tc>
              <w:tc>
                <w:tcPr>
                  <w:tcW w:w="2950" w:type="pct"/>
                  <w:vAlign w:val="center"/>
                </w:tcPr>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位于北侧出入口东侧，建筑面积45m</w:t>
                  </w:r>
                  <w:r>
                    <w:rPr>
                      <w:rFonts w:hint="eastAsia" w:ascii="Times New Roman" w:hAnsi="Times New Roman" w:eastAsia="仿宋_GB2312" w:cs="Times New Roman"/>
                      <w:sz w:val="21"/>
                      <w:szCs w:val="21"/>
                      <w:vertAlign w:val="superscript"/>
                    </w:rPr>
                    <w:t>2</w:t>
                  </w:r>
                  <w:r>
                    <w:rPr>
                      <w:rFonts w:hint="eastAsia" w:ascii="仿宋_GB2312" w:hAnsi="仿宋_GB2312" w:eastAsia="仿宋_GB2312" w:cs="仿宋_GB2312"/>
                      <w:color w:val="auto"/>
                      <w:sz w:val="21"/>
                      <w:szCs w:val="21"/>
                    </w:rPr>
                    <w:t>；</w:t>
                  </w:r>
                </w:p>
              </w:tc>
              <w:tc>
                <w:tcPr>
                  <w:tcW w:w="908" w:type="pct"/>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7" w:hRule="atLeast"/>
              </w:trPr>
              <w:tc>
                <w:tcPr>
                  <w:tcW w:w="368" w:type="pct"/>
                  <w:vMerge w:val="restart"/>
                  <w:vAlign w:val="center"/>
                </w:tcPr>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p>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p>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公用工程</w:t>
                  </w:r>
                </w:p>
              </w:tc>
              <w:tc>
                <w:tcPr>
                  <w:tcW w:w="772" w:type="pct"/>
                  <w:vAlign w:val="center"/>
                </w:tcPr>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p>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供水</w:t>
                  </w:r>
                </w:p>
              </w:tc>
              <w:tc>
                <w:tcPr>
                  <w:tcW w:w="2950" w:type="pct"/>
                  <w:vAlign w:val="center"/>
                </w:tcPr>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拟建项目用水为市政供水，新鲜水用量为217.048t/d，年用水量为65114.4t/a，主要为搅拌机清洗用水、产品拌浆用水、运输车辆清洗用水、作业区地面冲洗用水以及职工生活用水等；</w:t>
                  </w:r>
                </w:p>
              </w:tc>
              <w:tc>
                <w:tcPr>
                  <w:tcW w:w="908" w:type="pct"/>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7" w:hRule="atLeast"/>
              </w:trPr>
              <w:tc>
                <w:tcPr>
                  <w:tcW w:w="368" w:type="pct"/>
                  <w:vMerge w:val="continue"/>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p>
              </w:tc>
              <w:tc>
                <w:tcPr>
                  <w:tcW w:w="772" w:type="pct"/>
                  <w:vAlign w:val="center"/>
                </w:tcPr>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排水</w:t>
                  </w:r>
                </w:p>
              </w:tc>
              <w:tc>
                <w:tcPr>
                  <w:tcW w:w="2950" w:type="pct"/>
                  <w:vAlign w:val="center"/>
                </w:tcPr>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拟建项目废水主要为搅拌机清洗废水、运输车辆清洗废水、作业区地面冲洗废水以及职工生活废水；</w:t>
                  </w:r>
                </w:p>
              </w:tc>
              <w:tc>
                <w:tcPr>
                  <w:tcW w:w="908" w:type="pct"/>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7" w:hRule="atLeast"/>
              </w:trPr>
              <w:tc>
                <w:tcPr>
                  <w:tcW w:w="368" w:type="pct"/>
                  <w:vMerge w:val="continue"/>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p>
              </w:tc>
              <w:tc>
                <w:tcPr>
                  <w:tcW w:w="772" w:type="pct"/>
                  <w:vAlign w:val="center"/>
                </w:tcPr>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供电</w:t>
                  </w:r>
                </w:p>
              </w:tc>
              <w:tc>
                <w:tcPr>
                  <w:tcW w:w="2950" w:type="pct"/>
                  <w:vAlign w:val="center"/>
                </w:tcPr>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依托官店镇罗岭村的供电管网，年用电量为20万kWh；</w:t>
                  </w:r>
                </w:p>
              </w:tc>
              <w:tc>
                <w:tcPr>
                  <w:tcW w:w="908" w:type="pct"/>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7" w:hRule="atLeast"/>
              </w:trPr>
              <w:tc>
                <w:tcPr>
                  <w:tcW w:w="368" w:type="pct"/>
                  <w:vMerge w:val="restart"/>
                  <w:vAlign w:val="center"/>
                </w:tcPr>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p>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p>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p>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p>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p>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p>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环保工程</w:t>
                  </w:r>
                </w:p>
              </w:tc>
              <w:tc>
                <w:tcPr>
                  <w:tcW w:w="772" w:type="pct"/>
                  <w:vAlign w:val="center"/>
                </w:tcPr>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p>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p>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废水</w:t>
                  </w:r>
                </w:p>
              </w:tc>
              <w:tc>
                <w:tcPr>
                  <w:tcW w:w="2950" w:type="pct"/>
                  <w:vAlign w:val="center"/>
                </w:tcPr>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拟建项目废水主要为搅拌机清洗废水、运输车辆清洗废水、作业区地面冲洗废水以及职工生活废水。搅拌机清洗废水、作业区地面冲洗废水经沉淀池沉淀后回用于搅拌工序，不外排；运输车辆清洗废水经沉淀池沉淀后循环使用，不外排；职工生活污水经化粪池处理后用作农田灌溉，不外排。</w:t>
                  </w:r>
                </w:p>
              </w:tc>
              <w:tc>
                <w:tcPr>
                  <w:tcW w:w="908" w:type="pct"/>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jc w:val="center"/>
                    <w:textAlignment w:val="auto"/>
                    <w:rPr>
                      <w:rFonts w:hint="eastAsia" w:ascii="仿宋_GB2312" w:hAnsi="仿宋_GB2312" w:eastAsia="仿宋_GB2312" w:cs="仿宋_GB2312"/>
                      <w:color w:val="auto"/>
                      <w:w w:val="95"/>
                      <w:sz w:val="21"/>
                      <w:szCs w:val="21"/>
                    </w:rPr>
                  </w:pPr>
                  <w:r>
                    <w:rPr>
                      <w:rFonts w:hint="eastAsia" w:ascii="仿宋_GB2312" w:hAnsi="仿宋_GB2312" w:eastAsia="仿宋_GB2312" w:cs="仿宋_GB2312"/>
                      <w:color w:val="auto"/>
                      <w:spacing w:val="-1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7" w:hRule="atLeast"/>
              </w:trPr>
              <w:tc>
                <w:tcPr>
                  <w:tcW w:w="368" w:type="pct"/>
                  <w:vMerge w:val="continue"/>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p>
              </w:tc>
              <w:tc>
                <w:tcPr>
                  <w:tcW w:w="772" w:type="pct"/>
                  <w:vAlign w:val="center"/>
                </w:tcPr>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p>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废气</w:t>
                  </w:r>
                </w:p>
              </w:tc>
              <w:tc>
                <w:tcPr>
                  <w:tcW w:w="2950" w:type="pct"/>
                  <w:vAlign w:val="center"/>
                </w:tcPr>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水泥罐、粉煤灰罐罐顶呼吸孔粉尘，经布袋除尘器处理后，经1根高25m排气筒排放；PC预制构件生产过程中钢筋加工焊接烟尘经过移动式焊接烟尘净化器净化后无组织排放；原料仓库封闭。</w:t>
                  </w:r>
                </w:p>
              </w:tc>
              <w:tc>
                <w:tcPr>
                  <w:tcW w:w="908" w:type="pct"/>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7" w:hRule="atLeast"/>
              </w:trPr>
              <w:tc>
                <w:tcPr>
                  <w:tcW w:w="368" w:type="pct"/>
                  <w:vMerge w:val="continue"/>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p>
              </w:tc>
              <w:tc>
                <w:tcPr>
                  <w:tcW w:w="772" w:type="pct"/>
                  <w:vAlign w:val="center"/>
                </w:tcPr>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噪声</w:t>
                  </w:r>
                </w:p>
              </w:tc>
              <w:tc>
                <w:tcPr>
                  <w:tcW w:w="2950" w:type="pct"/>
                  <w:vAlign w:val="center"/>
                </w:tcPr>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对噪声较高的设备采取厂房隔声和基础减振等措施；同时合理布置厂区功能，将噪声较大的设备布置在厂区东侧。</w:t>
                  </w:r>
                </w:p>
              </w:tc>
              <w:tc>
                <w:tcPr>
                  <w:tcW w:w="908" w:type="pct"/>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7" w:hRule="atLeast"/>
              </w:trPr>
              <w:tc>
                <w:tcPr>
                  <w:tcW w:w="368" w:type="pct"/>
                  <w:vMerge w:val="continue"/>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p>
              </w:tc>
              <w:tc>
                <w:tcPr>
                  <w:tcW w:w="772" w:type="pct"/>
                  <w:vAlign w:val="center"/>
                </w:tcPr>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固废</w:t>
                  </w:r>
                </w:p>
              </w:tc>
              <w:tc>
                <w:tcPr>
                  <w:tcW w:w="2950" w:type="pct"/>
                  <w:vAlign w:val="center"/>
                </w:tcPr>
                <w:p>
                  <w:pPr>
                    <w:pStyle w:val="30"/>
                    <w:keepNext w:val="0"/>
                    <w:keepLines w:val="0"/>
                    <w:pageBreakBefore w:val="0"/>
                    <w:widowControl w:val="0"/>
                    <w:kinsoku/>
                    <w:wordWrap/>
                    <w:overflowPunct/>
                    <w:topLinePunct w:val="0"/>
                    <w:autoSpaceDE w:val="0"/>
                    <w:autoSpaceDN w:val="0"/>
                    <w:bidi w:val="0"/>
                    <w:adjustRightInd/>
                    <w:snapToGrid w:val="0"/>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布袋除尘器收集的粉尘，全部回收作为原料再利用。废包装袋，经集中收集后交由物资回收部门回用利用。生活垃圾，经厂区内统一收集后交由当地环卫部门处理。</w:t>
                  </w:r>
                </w:p>
              </w:tc>
              <w:tc>
                <w:tcPr>
                  <w:tcW w:w="908" w:type="pct"/>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0"/>
                      <w:sz w:val="21"/>
                      <w:szCs w:val="21"/>
                      <w:lang w:val="en-US" w:eastAsia="zh-CN"/>
                    </w:rPr>
                    <w:t>与环评一致</w:t>
                  </w:r>
                </w:p>
              </w:tc>
            </w:tr>
          </w:tbl>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eastAsia" w:ascii="仿宋_GB2312" w:hAnsi="仿宋_GB2312" w:eastAsia="仿宋_GB2312" w:cs="仿宋_GB2312"/>
                <w:b/>
                <w:bCs/>
                <w:color w:val="auto"/>
                <w:sz w:val="28"/>
                <w:szCs w:val="28"/>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eastAsia" w:ascii="仿宋_GB2312" w:hAnsi="仿宋_GB2312" w:eastAsia="仿宋_GB2312" w:cs="仿宋_GB2312"/>
                <w:b/>
                <w:bCs/>
                <w:color w:val="auto"/>
                <w:sz w:val="28"/>
                <w:szCs w:val="28"/>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eastAsia" w:ascii="仿宋_GB2312" w:hAnsi="仿宋_GB2312" w:eastAsia="仿宋_GB2312" w:cs="仿宋_GB2312"/>
                <w:b/>
                <w:bCs/>
                <w:color w:val="auto"/>
                <w:sz w:val="28"/>
                <w:szCs w:val="28"/>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eastAsia" w:ascii="仿宋_GB2312" w:hAnsi="仿宋_GB2312" w:eastAsia="仿宋_GB2312" w:cs="仿宋_GB2312"/>
                <w:b/>
                <w:bCs/>
                <w:color w:val="auto"/>
                <w:sz w:val="28"/>
                <w:szCs w:val="28"/>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eastAsia" w:ascii="仿宋_GB2312" w:hAnsi="仿宋_GB2312" w:eastAsia="仿宋_GB2312" w:cs="仿宋_GB2312"/>
                <w:b/>
                <w:bCs/>
                <w:color w:val="auto"/>
                <w:sz w:val="28"/>
                <w:szCs w:val="28"/>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eastAsia" w:ascii="仿宋_GB2312" w:hAnsi="仿宋_GB2312" w:eastAsia="仿宋_GB2312" w:cs="仿宋_GB2312"/>
                <w:b/>
                <w:bCs/>
                <w:color w:val="auto"/>
                <w:sz w:val="28"/>
                <w:szCs w:val="28"/>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eastAsia" w:ascii="仿宋_GB2312" w:hAnsi="仿宋_GB2312" w:eastAsia="仿宋_GB2312" w:cs="仿宋_GB2312"/>
                <w:b/>
                <w:bCs/>
                <w:color w:val="auto"/>
                <w:sz w:val="28"/>
                <w:szCs w:val="28"/>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eastAsia" w:ascii="仿宋_GB2312" w:hAnsi="仿宋_GB2312" w:eastAsia="仿宋_GB2312" w:cs="仿宋_GB2312"/>
                <w:b/>
                <w:bCs/>
                <w:color w:val="auto"/>
                <w:sz w:val="28"/>
                <w:szCs w:val="28"/>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仿宋_GB2312" w:hAnsi="仿宋_GB2312" w:eastAsia="仿宋_GB2312" w:cs="仿宋_GB2312"/>
                <w:b/>
                <w:bCs/>
                <w:color w:val="auto"/>
                <w:sz w:val="28"/>
                <w:szCs w:val="28"/>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79" w:hRule="atLeast"/>
          <w:jc w:val="center"/>
        </w:trPr>
        <w:tc>
          <w:tcPr>
            <w:tcW w:w="8522" w:type="dxa"/>
            <w:tcBorders>
              <w:bottom w:val="single" w:color="000000" w:sz="8"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default"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原辅材料消耗及水平衡</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0" w:firstLineChars="0"/>
              <w:jc w:val="both"/>
              <w:textAlignment w:val="auto"/>
              <w:outlineLvl w:val="9"/>
              <w:rPr>
                <w:rFonts w:hint="eastAsia" w:ascii="仿宋_GB2312" w:hAnsi="仿宋_GB2312" w:eastAsia="仿宋_GB2312" w:cs="仿宋_GB2312"/>
                <w:b/>
                <w:color w:val="auto"/>
                <w:sz w:val="28"/>
                <w:szCs w:val="28"/>
                <w:lang w:eastAsia="zh-CN"/>
              </w:rPr>
            </w:pPr>
            <w:r>
              <w:rPr>
                <w:rFonts w:hint="eastAsia" w:ascii="仿宋_GB2312" w:hAnsi="仿宋_GB2312" w:eastAsia="仿宋_GB2312" w:cs="仿宋_GB2312"/>
                <w:b/>
                <w:color w:val="auto"/>
                <w:sz w:val="28"/>
                <w:szCs w:val="28"/>
                <w:lang w:val="en-US" w:eastAsia="zh-CN"/>
              </w:rPr>
              <w:t>一、</w:t>
            </w:r>
            <w:r>
              <w:rPr>
                <w:rFonts w:hint="eastAsia" w:ascii="仿宋_GB2312" w:hAnsi="仿宋_GB2312" w:eastAsia="仿宋_GB2312" w:cs="仿宋_GB2312"/>
                <w:b/>
                <w:color w:val="auto"/>
                <w:sz w:val="28"/>
                <w:szCs w:val="28"/>
              </w:rPr>
              <w:t>主要原辅料</w:t>
            </w:r>
            <w:r>
              <w:rPr>
                <w:rFonts w:hint="eastAsia" w:ascii="仿宋_GB2312" w:hAnsi="仿宋_GB2312" w:eastAsia="仿宋_GB2312" w:cs="仿宋_GB2312"/>
                <w:b/>
                <w:color w:val="auto"/>
                <w:sz w:val="28"/>
                <w:szCs w:val="28"/>
                <w:lang w:eastAsia="zh-CN"/>
              </w:rPr>
              <w:t>及能</w:t>
            </w:r>
            <w:r>
              <w:rPr>
                <w:rFonts w:hint="eastAsia" w:ascii="仿宋_GB2312" w:hAnsi="仿宋_GB2312" w:eastAsia="仿宋_GB2312" w:cs="仿宋_GB2312"/>
                <w:b/>
                <w:color w:val="auto"/>
                <w:sz w:val="28"/>
                <w:szCs w:val="28"/>
              </w:rPr>
              <w:t>耗量</w:t>
            </w:r>
            <w:r>
              <w:rPr>
                <w:rFonts w:hint="eastAsia" w:ascii="仿宋_GB2312" w:hAnsi="仿宋_GB2312" w:eastAsia="仿宋_GB2312" w:cs="仿宋_GB2312"/>
                <w:b/>
                <w:color w:val="auto"/>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outlineLvl w:val="9"/>
              <w:rPr>
                <w:rFonts w:hint="eastAsia" w:ascii="仿宋_GB2312" w:hAnsi="仿宋_GB2312" w:eastAsia="仿宋_GB2312" w:cs="仿宋_GB2312"/>
                <w:b/>
                <w:color w:val="auto"/>
                <w:sz w:val="28"/>
                <w:szCs w:val="28"/>
                <w:lang w:val="en-US" w:eastAsia="zh-CN"/>
              </w:rPr>
            </w:pPr>
            <w:r>
              <w:rPr>
                <w:rFonts w:hint="eastAsia" w:ascii="仿宋_GB2312" w:hAnsi="仿宋_GB2312" w:eastAsia="仿宋_GB2312" w:cs="仿宋_GB2312"/>
                <w:b/>
                <w:color w:val="auto"/>
                <w:sz w:val="28"/>
                <w:szCs w:val="28"/>
                <w:lang w:eastAsia="zh-CN"/>
              </w:rPr>
              <w:t>表</w:t>
            </w:r>
            <w:r>
              <w:rPr>
                <w:rFonts w:hint="eastAsia" w:ascii="仿宋_GB2312" w:hAnsi="仿宋_GB2312" w:eastAsia="仿宋_GB2312" w:cs="仿宋_GB2312"/>
                <w:b/>
                <w:color w:val="auto"/>
                <w:sz w:val="28"/>
                <w:szCs w:val="28"/>
                <w:lang w:val="en-US" w:eastAsia="zh-CN"/>
              </w:rPr>
              <w:t xml:space="preserve">2-3 </w:t>
            </w:r>
            <w:r>
              <w:rPr>
                <w:rFonts w:hint="eastAsia" w:ascii="仿宋_GB2312" w:hAnsi="仿宋_GB2312" w:eastAsia="仿宋_GB2312" w:cs="仿宋_GB2312"/>
                <w:b/>
                <w:color w:val="auto"/>
                <w:sz w:val="28"/>
                <w:szCs w:val="28"/>
                <w:lang w:eastAsia="zh-CN"/>
              </w:rPr>
              <w:t>项目原辅材料</w:t>
            </w:r>
            <w:r>
              <w:rPr>
                <w:rFonts w:hint="eastAsia" w:ascii="仿宋_GB2312" w:hAnsi="仿宋_GB2312" w:eastAsia="仿宋_GB2312" w:cs="仿宋_GB2312"/>
                <w:b/>
                <w:color w:val="auto"/>
                <w:sz w:val="28"/>
                <w:szCs w:val="28"/>
                <w:lang w:val="en-US" w:eastAsia="zh-CN"/>
              </w:rPr>
              <w:t>消耗</w:t>
            </w:r>
            <w:r>
              <w:rPr>
                <w:rFonts w:hint="eastAsia" w:ascii="仿宋_GB2312" w:hAnsi="仿宋_GB2312" w:eastAsia="仿宋_GB2312" w:cs="仿宋_GB2312"/>
                <w:b/>
                <w:color w:val="auto"/>
                <w:sz w:val="28"/>
                <w:szCs w:val="28"/>
                <w:lang w:eastAsia="zh-CN"/>
              </w:rPr>
              <w:t>一览表</w:t>
            </w:r>
          </w:p>
          <w:tbl>
            <w:tblPr>
              <w:tblStyle w:val="16"/>
              <w:tblW w:w="4998"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992"/>
              <w:gridCol w:w="1937"/>
              <w:gridCol w:w="1650"/>
              <w:gridCol w:w="2258"/>
              <w:gridCol w:w="242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9" w:hRule="atLeast"/>
              </w:trPr>
              <w:tc>
                <w:tcPr>
                  <w:tcW w:w="535" w:type="pct"/>
                  <w:tcBorders>
                    <w:top w:val="single" w:color="000000" w:sz="4" w:space="0"/>
                    <w:left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序号</w:t>
                  </w:r>
                </w:p>
              </w:tc>
              <w:tc>
                <w:tcPr>
                  <w:tcW w:w="1045" w:type="pct"/>
                  <w:tcBorders>
                    <w:top w:val="single" w:color="000000" w:sz="4" w:space="0"/>
                    <w:left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材料名称</w:t>
                  </w:r>
                </w:p>
              </w:tc>
              <w:tc>
                <w:tcPr>
                  <w:tcW w:w="890" w:type="pct"/>
                  <w:tcBorders>
                    <w:top w:val="single" w:color="000000" w:sz="4" w:space="0"/>
                    <w:left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单位</w:t>
                  </w:r>
                </w:p>
              </w:tc>
              <w:tc>
                <w:tcPr>
                  <w:tcW w:w="1218" w:type="pct"/>
                  <w:tcBorders>
                    <w:top w:val="single" w:color="000000" w:sz="4" w:space="0"/>
                    <w:left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设计</w:t>
                  </w:r>
                  <w:r>
                    <w:rPr>
                      <w:rFonts w:hint="eastAsia" w:ascii="仿宋_GB2312" w:hAnsi="仿宋_GB2312" w:eastAsia="仿宋_GB2312" w:cs="仿宋_GB2312"/>
                      <w:color w:val="auto"/>
                      <w:sz w:val="21"/>
                      <w:szCs w:val="21"/>
                    </w:rPr>
                    <w:t>消耗量</w:t>
                  </w:r>
                </w:p>
              </w:tc>
              <w:tc>
                <w:tcPr>
                  <w:tcW w:w="1310" w:type="pct"/>
                  <w:tcBorders>
                    <w:top w:val="single" w:color="000000" w:sz="4" w:space="0"/>
                    <w:left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实际消耗量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535"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w w:val="99"/>
                      <w:sz w:val="21"/>
                      <w:szCs w:val="21"/>
                    </w:rPr>
                    <w:t>1</w:t>
                  </w:r>
                </w:p>
              </w:tc>
              <w:tc>
                <w:tcPr>
                  <w:tcW w:w="1045"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水泥</w:t>
                  </w:r>
                </w:p>
              </w:tc>
              <w:tc>
                <w:tcPr>
                  <w:tcW w:w="890"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t/a</w:t>
                  </w:r>
                </w:p>
              </w:tc>
              <w:tc>
                <w:tcPr>
                  <w:tcW w:w="1218"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8万</w:t>
                  </w:r>
                </w:p>
              </w:tc>
              <w:tc>
                <w:tcPr>
                  <w:tcW w:w="2179"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7.5</w:t>
                  </w:r>
                  <w:r>
                    <w:rPr>
                      <w:rFonts w:hint="eastAsia" w:ascii="仿宋_GB2312" w:hAnsi="仿宋_GB2312" w:eastAsia="仿宋_GB2312" w:cs="仿宋_GB2312"/>
                      <w:color w:val="auto"/>
                      <w:sz w:val="21"/>
                      <w:szCs w:val="21"/>
                    </w:rPr>
                    <w:t>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535"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w w:val="99"/>
                      <w:sz w:val="21"/>
                      <w:szCs w:val="21"/>
                    </w:rPr>
                    <w:t>2</w:t>
                  </w:r>
                </w:p>
              </w:tc>
              <w:tc>
                <w:tcPr>
                  <w:tcW w:w="1045"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粉煤灰</w:t>
                  </w:r>
                </w:p>
              </w:tc>
              <w:tc>
                <w:tcPr>
                  <w:tcW w:w="890"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t/a</w:t>
                  </w:r>
                </w:p>
              </w:tc>
              <w:tc>
                <w:tcPr>
                  <w:tcW w:w="1218"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4.8万</w:t>
                  </w:r>
                </w:p>
              </w:tc>
              <w:tc>
                <w:tcPr>
                  <w:tcW w:w="2179"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5</w:t>
                  </w:r>
                  <w:r>
                    <w:rPr>
                      <w:rFonts w:hint="eastAsia" w:ascii="仿宋_GB2312" w:hAnsi="仿宋_GB2312" w:eastAsia="仿宋_GB2312" w:cs="仿宋_GB2312"/>
                      <w:color w:val="auto"/>
                      <w:sz w:val="21"/>
                      <w:szCs w:val="21"/>
                    </w:rPr>
                    <w:t>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2" w:hRule="atLeast"/>
              </w:trPr>
              <w:tc>
                <w:tcPr>
                  <w:tcW w:w="535"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w w:val="99"/>
                      <w:sz w:val="21"/>
                      <w:szCs w:val="21"/>
                    </w:rPr>
                    <w:t>3</w:t>
                  </w:r>
                </w:p>
              </w:tc>
              <w:tc>
                <w:tcPr>
                  <w:tcW w:w="1045"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河砂</w:t>
                  </w:r>
                </w:p>
              </w:tc>
              <w:tc>
                <w:tcPr>
                  <w:tcW w:w="890"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t/a</w:t>
                  </w:r>
                </w:p>
              </w:tc>
              <w:tc>
                <w:tcPr>
                  <w:tcW w:w="1218"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52万</w:t>
                  </w:r>
                </w:p>
              </w:tc>
              <w:tc>
                <w:tcPr>
                  <w:tcW w:w="2179"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51</w:t>
                  </w:r>
                  <w:r>
                    <w:rPr>
                      <w:rFonts w:hint="eastAsia" w:ascii="仿宋_GB2312" w:hAnsi="仿宋_GB2312" w:eastAsia="仿宋_GB2312" w:cs="仿宋_GB2312"/>
                      <w:color w:val="auto"/>
                      <w:sz w:val="21"/>
                      <w:szCs w:val="21"/>
                    </w:rPr>
                    <w:t>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535"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w w:val="99"/>
                      <w:sz w:val="21"/>
                      <w:szCs w:val="21"/>
                    </w:rPr>
                    <w:t>4</w:t>
                  </w:r>
                </w:p>
              </w:tc>
              <w:tc>
                <w:tcPr>
                  <w:tcW w:w="1045"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水外加剂</w:t>
                  </w:r>
                </w:p>
              </w:tc>
              <w:tc>
                <w:tcPr>
                  <w:tcW w:w="890"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t/a</w:t>
                  </w:r>
                </w:p>
              </w:tc>
              <w:tc>
                <w:tcPr>
                  <w:tcW w:w="1218"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0.4万</w:t>
                  </w:r>
                </w:p>
              </w:tc>
              <w:tc>
                <w:tcPr>
                  <w:tcW w:w="2179"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0.4万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535"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w w:val="99"/>
                      <w:sz w:val="21"/>
                      <w:szCs w:val="21"/>
                    </w:rPr>
                    <w:t>1</w:t>
                  </w:r>
                </w:p>
              </w:tc>
              <w:tc>
                <w:tcPr>
                  <w:tcW w:w="1045"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水泥</w:t>
                  </w:r>
                </w:p>
              </w:tc>
              <w:tc>
                <w:tcPr>
                  <w:tcW w:w="890"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t/a</w:t>
                  </w:r>
                </w:p>
              </w:tc>
              <w:tc>
                <w:tcPr>
                  <w:tcW w:w="1218"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4.5万</w:t>
                  </w:r>
                </w:p>
              </w:tc>
              <w:tc>
                <w:tcPr>
                  <w:tcW w:w="2179"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535"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w w:val="99"/>
                      <w:sz w:val="21"/>
                      <w:szCs w:val="21"/>
                    </w:rPr>
                    <w:t>2</w:t>
                  </w:r>
                </w:p>
              </w:tc>
              <w:tc>
                <w:tcPr>
                  <w:tcW w:w="1045"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粉煤灰</w:t>
                  </w:r>
                </w:p>
              </w:tc>
              <w:tc>
                <w:tcPr>
                  <w:tcW w:w="890"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t/a</w:t>
                  </w:r>
                </w:p>
              </w:tc>
              <w:tc>
                <w:tcPr>
                  <w:tcW w:w="1218"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2.9万</w:t>
                  </w:r>
                </w:p>
              </w:tc>
              <w:tc>
                <w:tcPr>
                  <w:tcW w:w="2179"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535"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w w:val="99"/>
                      <w:sz w:val="21"/>
                      <w:szCs w:val="21"/>
                    </w:rPr>
                    <w:t>3</w:t>
                  </w:r>
                </w:p>
              </w:tc>
              <w:tc>
                <w:tcPr>
                  <w:tcW w:w="1045"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干砂</w:t>
                  </w:r>
                </w:p>
              </w:tc>
              <w:tc>
                <w:tcPr>
                  <w:tcW w:w="890"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t/a</w:t>
                  </w:r>
                </w:p>
              </w:tc>
              <w:tc>
                <w:tcPr>
                  <w:tcW w:w="1218"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22.5万</w:t>
                  </w:r>
                </w:p>
              </w:tc>
              <w:tc>
                <w:tcPr>
                  <w:tcW w:w="2179"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535"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w w:val="99"/>
                      <w:sz w:val="21"/>
                      <w:szCs w:val="21"/>
                    </w:rPr>
                    <w:t>4</w:t>
                  </w:r>
                </w:p>
              </w:tc>
              <w:tc>
                <w:tcPr>
                  <w:tcW w:w="1045"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外加剂</w:t>
                  </w:r>
                </w:p>
              </w:tc>
              <w:tc>
                <w:tcPr>
                  <w:tcW w:w="890"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t/a</w:t>
                  </w:r>
                </w:p>
              </w:tc>
              <w:tc>
                <w:tcPr>
                  <w:tcW w:w="1218"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900</w:t>
                  </w:r>
                </w:p>
              </w:tc>
              <w:tc>
                <w:tcPr>
                  <w:tcW w:w="2179"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535"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w w:val="99"/>
                      <w:sz w:val="21"/>
                      <w:szCs w:val="21"/>
                    </w:rPr>
                    <w:t>1</w:t>
                  </w:r>
                </w:p>
              </w:tc>
              <w:tc>
                <w:tcPr>
                  <w:tcW w:w="1045"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水泥</w:t>
                  </w:r>
                </w:p>
              </w:tc>
              <w:tc>
                <w:tcPr>
                  <w:tcW w:w="890"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t/a</w:t>
                  </w:r>
                </w:p>
              </w:tc>
              <w:tc>
                <w:tcPr>
                  <w:tcW w:w="1218"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7.2万</w:t>
                  </w:r>
                </w:p>
              </w:tc>
              <w:tc>
                <w:tcPr>
                  <w:tcW w:w="2179"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7.2万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535"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w w:val="99"/>
                      <w:sz w:val="21"/>
                      <w:szCs w:val="21"/>
                    </w:rPr>
                    <w:t>2</w:t>
                  </w:r>
                </w:p>
              </w:tc>
              <w:tc>
                <w:tcPr>
                  <w:tcW w:w="1045"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河砂</w:t>
                  </w:r>
                </w:p>
              </w:tc>
              <w:tc>
                <w:tcPr>
                  <w:tcW w:w="890"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t/a</w:t>
                  </w:r>
                </w:p>
              </w:tc>
              <w:tc>
                <w:tcPr>
                  <w:tcW w:w="1218"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13.8万</w:t>
                  </w:r>
                </w:p>
              </w:tc>
              <w:tc>
                <w:tcPr>
                  <w:tcW w:w="2179"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13.8万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535"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w w:val="99"/>
                      <w:sz w:val="21"/>
                      <w:szCs w:val="21"/>
                    </w:rPr>
                    <w:t>3</w:t>
                  </w:r>
                </w:p>
              </w:tc>
              <w:tc>
                <w:tcPr>
                  <w:tcW w:w="1045"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石子</w:t>
                  </w:r>
                </w:p>
              </w:tc>
              <w:tc>
                <w:tcPr>
                  <w:tcW w:w="890"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t/a</w:t>
                  </w:r>
                </w:p>
              </w:tc>
              <w:tc>
                <w:tcPr>
                  <w:tcW w:w="1218"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29.0万</w:t>
                  </w:r>
                </w:p>
              </w:tc>
              <w:tc>
                <w:tcPr>
                  <w:tcW w:w="2179"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29.0万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535"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w w:val="99"/>
                      <w:sz w:val="21"/>
                      <w:szCs w:val="21"/>
                    </w:rPr>
                    <w:t>1</w:t>
                  </w:r>
                </w:p>
              </w:tc>
              <w:tc>
                <w:tcPr>
                  <w:tcW w:w="1045"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商品混凝土</w:t>
                  </w:r>
                </w:p>
              </w:tc>
              <w:tc>
                <w:tcPr>
                  <w:tcW w:w="890"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m</w:t>
                  </w:r>
                  <w:r>
                    <w:rPr>
                      <w:rFonts w:hint="eastAsia" w:ascii="Times New Roman" w:hAnsi="Times New Roman" w:eastAsia="仿宋_GB2312" w:cs="Times New Roman"/>
                      <w:color w:val="auto"/>
                      <w:sz w:val="21"/>
                      <w:szCs w:val="21"/>
                      <w:vertAlign w:val="superscript"/>
                    </w:rPr>
                    <w:t>3</w:t>
                  </w:r>
                  <w:r>
                    <w:rPr>
                      <w:rFonts w:hint="eastAsia" w:ascii="仿宋_GB2312" w:hAnsi="仿宋_GB2312" w:eastAsia="仿宋_GB2312" w:cs="仿宋_GB2312"/>
                      <w:color w:val="auto"/>
                      <w:sz w:val="21"/>
                      <w:szCs w:val="21"/>
                    </w:rPr>
                    <w:t>/a</w:t>
                  </w:r>
                </w:p>
              </w:tc>
              <w:tc>
                <w:tcPr>
                  <w:tcW w:w="1218"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13万</w:t>
                  </w:r>
                </w:p>
              </w:tc>
              <w:tc>
                <w:tcPr>
                  <w:tcW w:w="2179"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w:t>
                  </w:r>
                  <w:r>
                    <w:rPr>
                      <w:rFonts w:hint="eastAsia" w:ascii="仿宋_GB2312" w:hAnsi="仿宋_GB2312" w:eastAsia="仿宋_GB2312" w:cs="仿宋_GB2312"/>
                      <w:color w:val="auto"/>
                      <w:sz w:val="21"/>
                      <w:szCs w:val="21"/>
                      <w:lang w:val="en-US" w:eastAsia="zh-CN"/>
                    </w:rPr>
                    <w:t>2.8</w:t>
                  </w:r>
                  <w:r>
                    <w:rPr>
                      <w:rFonts w:hint="eastAsia" w:ascii="仿宋_GB2312" w:hAnsi="仿宋_GB2312" w:eastAsia="仿宋_GB2312" w:cs="仿宋_GB2312"/>
                      <w:color w:val="auto"/>
                      <w:sz w:val="21"/>
                      <w:szCs w:val="21"/>
                    </w:rPr>
                    <w:t>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535"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w w:val="99"/>
                      <w:sz w:val="21"/>
                      <w:szCs w:val="21"/>
                    </w:rPr>
                    <w:t>2</w:t>
                  </w:r>
                </w:p>
              </w:tc>
              <w:tc>
                <w:tcPr>
                  <w:tcW w:w="1045"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钢筋</w:t>
                  </w:r>
                </w:p>
              </w:tc>
              <w:tc>
                <w:tcPr>
                  <w:tcW w:w="890"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t/a</w:t>
                  </w:r>
                </w:p>
              </w:tc>
              <w:tc>
                <w:tcPr>
                  <w:tcW w:w="1218"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30</w:t>
                  </w:r>
                </w:p>
              </w:tc>
              <w:tc>
                <w:tcPr>
                  <w:tcW w:w="2179"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535"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w w:val="99"/>
                      <w:sz w:val="21"/>
                      <w:szCs w:val="21"/>
                    </w:rPr>
                    <w:t>3</w:t>
                  </w:r>
                </w:p>
              </w:tc>
              <w:tc>
                <w:tcPr>
                  <w:tcW w:w="1045"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其他辅材</w:t>
                  </w:r>
                </w:p>
              </w:tc>
              <w:tc>
                <w:tcPr>
                  <w:tcW w:w="890"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t/a</w:t>
                  </w:r>
                </w:p>
              </w:tc>
              <w:tc>
                <w:tcPr>
                  <w:tcW w:w="1218"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10</w:t>
                  </w:r>
                </w:p>
              </w:tc>
              <w:tc>
                <w:tcPr>
                  <w:tcW w:w="2179"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lang w:val="en-US" w:eastAsia="zh-CN"/>
                    </w:rPr>
                    <w:t>3</w:t>
                  </w:r>
                </w:p>
              </w:tc>
            </w:tr>
          </w:tbl>
          <w:p>
            <w:pPr>
              <w:pStyle w:val="5"/>
              <w:keepNext/>
              <w:keepLines/>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二、</w:t>
            </w:r>
            <w:r>
              <w:rPr>
                <w:rFonts w:hint="eastAsia" w:ascii="仿宋_GB2312" w:hAnsi="仿宋_GB2312" w:eastAsia="仿宋_GB2312" w:cs="仿宋_GB2312"/>
                <w:color w:val="auto"/>
                <w:sz w:val="28"/>
                <w:szCs w:val="28"/>
                <w:lang w:eastAsia="zh-CN"/>
              </w:rPr>
              <w:t>主要生产设备：</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b/>
                <w:bCs/>
                <w:color w:val="auto"/>
                <w:sz w:val="28"/>
                <w:szCs w:val="28"/>
                <w:lang w:eastAsia="zh-CN"/>
              </w:rPr>
            </w:pPr>
            <w:r>
              <w:rPr>
                <w:rFonts w:hint="eastAsia" w:ascii="仿宋_GB2312" w:hAnsi="仿宋_GB2312" w:eastAsia="仿宋_GB2312" w:cs="仿宋_GB2312"/>
                <w:b/>
                <w:bCs/>
                <w:color w:val="auto"/>
                <w:sz w:val="28"/>
                <w:szCs w:val="28"/>
                <w:lang w:eastAsia="zh-CN"/>
              </w:rPr>
              <w:t>表</w:t>
            </w:r>
            <w:r>
              <w:rPr>
                <w:rFonts w:hint="eastAsia" w:ascii="仿宋_GB2312" w:hAnsi="仿宋_GB2312" w:eastAsia="仿宋_GB2312" w:cs="仿宋_GB2312"/>
                <w:b/>
                <w:bCs/>
                <w:color w:val="auto"/>
                <w:sz w:val="28"/>
                <w:szCs w:val="28"/>
                <w:lang w:val="en-US" w:eastAsia="zh-CN"/>
              </w:rPr>
              <w:t>2-4</w:t>
            </w:r>
            <w:r>
              <w:rPr>
                <w:rFonts w:hint="eastAsia" w:ascii="仿宋_GB2312" w:hAnsi="仿宋_GB2312" w:eastAsia="仿宋_GB2312" w:cs="仿宋_GB2312"/>
                <w:b/>
                <w:bCs/>
                <w:color w:val="auto"/>
                <w:sz w:val="28"/>
                <w:szCs w:val="28"/>
                <w:lang w:eastAsia="zh-CN"/>
              </w:rPr>
              <w:t>项目主要生产设备一览表</w:t>
            </w:r>
          </w:p>
          <w:tbl>
            <w:tblPr>
              <w:tblStyle w:val="16"/>
              <w:tblW w:w="503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55"/>
              <w:gridCol w:w="1789"/>
              <w:gridCol w:w="3062"/>
              <w:gridCol w:w="1649"/>
              <w:gridCol w:w="19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457"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编号</w:t>
                  </w:r>
                </w:p>
              </w:tc>
              <w:tc>
                <w:tcPr>
                  <w:tcW w:w="956"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生产车间名称</w:t>
                  </w:r>
                </w:p>
              </w:tc>
              <w:tc>
                <w:tcPr>
                  <w:tcW w:w="1636"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设备名称</w:t>
                  </w:r>
                </w:p>
              </w:tc>
              <w:tc>
                <w:tcPr>
                  <w:tcW w:w="881"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环评设计</w:t>
                  </w:r>
                  <w:r>
                    <w:rPr>
                      <w:rFonts w:hint="eastAsia" w:ascii="仿宋_GB2312" w:hAnsi="仿宋_GB2312" w:eastAsia="仿宋_GB2312" w:cs="仿宋_GB2312"/>
                      <w:color w:val="auto"/>
                      <w:sz w:val="21"/>
                      <w:szCs w:val="21"/>
                    </w:rPr>
                    <w:t>数量</w:t>
                  </w:r>
                </w:p>
              </w:tc>
              <w:tc>
                <w:tcPr>
                  <w:tcW w:w="1067"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实际数量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57" w:type="pct"/>
                  <w:vMerge w:val="restar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p>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w w:val="99"/>
                      <w:sz w:val="21"/>
                      <w:szCs w:val="21"/>
                    </w:rPr>
                    <w:t>1</w:t>
                  </w:r>
                </w:p>
              </w:tc>
              <w:tc>
                <w:tcPr>
                  <w:tcW w:w="956" w:type="pct"/>
                  <w:vMerge w:val="restar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p>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湿拌砂浆、混凝土生产区</w:t>
                  </w:r>
                </w:p>
              </w:tc>
              <w:tc>
                <w:tcPr>
                  <w:tcW w:w="1636"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混凝土砂浆生产线</w:t>
                  </w:r>
                </w:p>
              </w:tc>
              <w:tc>
                <w:tcPr>
                  <w:tcW w:w="881"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1条</w:t>
                  </w:r>
                </w:p>
              </w:tc>
              <w:tc>
                <w:tcPr>
                  <w:tcW w:w="1788" w:type="dxa"/>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57"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p>
              </w:tc>
              <w:tc>
                <w:tcPr>
                  <w:tcW w:w="956"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p>
              </w:tc>
              <w:tc>
                <w:tcPr>
                  <w:tcW w:w="1636"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运输搅拌车</w:t>
                  </w:r>
                </w:p>
              </w:tc>
              <w:tc>
                <w:tcPr>
                  <w:tcW w:w="881"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10台</w:t>
                  </w:r>
                </w:p>
              </w:tc>
              <w:tc>
                <w:tcPr>
                  <w:tcW w:w="1788" w:type="dxa"/>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10台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57"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p>
              </w:tc>
              <w:tc>
                <w:tcPr>
                  <w:tcW w:w="956"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p>
              </w:tc>
              <w:tc>
                <w:tcPr>
                  <w:tcW w:w="1636"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泵送砂浆泵</w:t>
                  </w:r>
                </w:p>
              </w:tc>
              <w:tc>
                <w:tcPr>
                  <w:tcW w:w="881"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10台</w:t>
                  </w:r>
                </w:p>
              </w:tc>
              <w:tc>
                <w:tcPr>
                  <w:tcW w:w="1788" w:type="dxa"/>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10台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57" w:type="pct"/>
                  <w:vMerge w:val="restar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p>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w w:val="99"/>
                      <w:sz w:val="21"/>
                      <w:szCs w:val="21"/>
                    </w:rPr>
                    <w:t>2</w:t>
                  </w:r>
                </w:p>
              </w:tc>
              <w:tc>
                <w:tcPr>
                  <w:tcW w:w="956" w:type="pct"/>
                  <w:vMerge w:val="restar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p>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干混砂浆生产线</w:t>
                  </w:r>
                </w:p>
              </w:tc>
              <w:tc>
                <w:tcPr>
                  <w:tcW w:w="1636"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干混砂浆站</w:t>
                  </w:r>
                </w:p>
              </w:tc>
              <w:tc>
                <w:tcPr>
                  <w:tcW w:w="881"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1套</w:t>
                  </w:r>
                </w:p>
              </w:tc>
              <w:tc>
                <w:tcPr>
                  <w:tcW w:w="1788" w:type="dxa"/>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0</w:t>
                  </w:r>
                  <w:r>
                    <w:rPr>
                      <w:rFonts w:hint="eastAsia" w:ascii="仿宋_GB2312" w:hAnsi="仿宋_GB2312" w:eastAsia="仿宋_GB2312" w:cs="仿宋_GB2312"/>
                      <w:color w:val="auto"/>
                      <w:sz w:val="21"/>
                      <w:szCs w:val="21"/>
                    </w:rPr>
                    <w:t>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57"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p>
              </w:tc>
              <w:tc>
                <w:tcPr>
                  <w:tcW w:w="956"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p>
              </w:tc>
              <w:tc>
                <w:tcPr>
                  <w:tcW w:w="1636"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干混砂浆运输车</w:t>
                  </w:r>
                </w:p>
              </w:tc>
              <w:tc>
                <w:tcPr>
                  <w:tcW w:w="881"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5辆</w:t>
                  </w:r>
                </w:p>
              </w:tc>
              <w:tc>
                <w:tcPr>
                  <w:tcW w:w="1788" w:type="dxa"/>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0</w:t>
                  </w:r>
                  <w:r>
                    <w:rPr>
                      <w:rFonts w:hint="eastAsia" w:ascii="仿宋_GB2312" w:hAnsi="仿宋_GB2312" w:eastAsia="仿宋_GB2312" w:cs="仿宋_GB2312"/>
                      <w:color w:val="auto"/>
                      <w:sz w:val="21"/>
                      <w:szCs w:val="21"/>
                    </w:rPr>
                    <w:t>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57"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p>
              </w:tc>
              <w:tc>
                <w:tcPr>
                  <w:tcW w:w="956"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p>
              </w:tc>
              <w:tc>
                <w:tcPr>
                  <w:tcW w:w="1636"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干混砂浆背罐车</w:t>
                  </w:r>
                </w:p>
              </w:tc>
              <w:tc>
                <w:tcPr>
                  <w:tcW w:w="881"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5辆</w:t>
                  </w:r>
                </w:p>
              </w:tc>
              <w:tc>
                <w:tcPr>
                  <w:tcW w:w="1788" w:type="dxa"/>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0</w:t>
                  </w:r>
                  <w:r>
                    <w:rPr>
                      <w:rFonts w:hint="eastAsia" w:ascii="仿宋_GB2312" w:hAnsi="仿宋_GB2312" w:eastAsia="仿宋_GB2312" w:cs="仿宋_GB2312"/>
                      <w:color w:val="auto"/>
                      <w:sz w:val="21"/>
                      <w:szCs w:val="21"/>
                    </w:rPr>
                    <w:t>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57" w:type="pct"/>
                  <w:vMerge w:val="restar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p>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w w:val="99"/>
                      <w:sz w:val="21"/>
                      <w:szCs w:val="21"/>
                    </w:rPr>
                    <w:t>3</w:t>
                  </w:r>
                </w:p>
              </w:tc>
              <w:tc>
                <w:tcPr>
                  <w:tcW w:w="956" w:type="pct"/>
                  <w:vMerge w:val="restar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PC预制构件生产线</w:t>
                  </w:r>
                </w:p>
              </w:tc>
              <w:tc>
                <w:tcPr>
                  <w:tcW w:w="1636"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PC构件生产线</w:t>
                  </w:r>
                </w:p>
              </w:tc>
              <w:tc>
                <w:tcPr>
                  <w:tcW w:w="881"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1套</w:t>
                  </w:r>
                </w:p>
              </w:tc>
              <w:tc>
                <w:tcPr>
                  <w:tcW w:w="1788" w:type="dxa"/>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57"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p>
              </w:tc>
              <w:tc>
                <w:tcPr>
                  <w:tcW w:w="956"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p>
              </w:tc>
              <w:tc>
                <w:tcPr>
                  <w:tcW w:w="1636"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固定模台车间设备、模具</w:t>
                  </w:r>
                </w:p>
              </w:tc>
              <w:tc>
                <w:tcPr>
                  <w:tcW w:w="881"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1套</w:t>
                  </w:r>
                </w:p>
              </w:tc>
              <w:tc>
                <w:tcPr>
                  <w:tcW w:w="1788" w:type="dxa"/>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57"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p>
              </w:tc>
              <w:tc>
                <w:tcPr>
                  <w:tcW w:w="956"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p>
              </w:tc>
              <w:tc>
                <w:tcPr>
                  <w:tcW w:w="1636"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钢筋加工设备（切割机、焊接机等）</w:t>
                  </w:r>
                </w:p>
              </w:tc>
              <w:tc>
                <w:tcPr>
                  <w:tcW w:w="881"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1套</w:t>
                  </w:r>
                </w:p>
              </w:tc>
              <w:tc>
                <w:tcPr>
                  <w:tcW w:w="1788" w:type="dxa"/>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1套</w:t>
                  </w:r>
                </w:p>
              </w:tc>
            </w:tr>
          </w:tbl>
          <w:p>
            <w:pPr>
              <w:pStyle w:val="5"/>
              <w:keepNext/>
              <w:keepLines/>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baseline"/>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三、</w:t>
            </w:r>
            <w:r>
              <w:rPr>
                <w:rFonts w:hint="eastAsia" w:ascii="仿宋_GB2312" w:hAnsi="仿宋_GB2312" w:eastAsia="仿宋_GB2312" w:cs="仿宋_GB2312"/>
                <w:color w:val="auto"/>
                <w:sz w:val="28"/>
                <w:szCs w:val="28"/>
                <w:lang w:eastAsia="zh-CN"/>
              </w:rPr>
              <w:t>用水来源及水平衡</w:t>
            </w:r>
          </w:p>
          <w:p>
            <w:pPr>
              <w:pStyle w:val="5"/>
              <w:keepNext/>
              <w:keepLines/>
              <w:pageBreakBefore w:val="0"/>
              <w:widowControl w:val="0"/>
              <w:kinsoku/>
              <w:wordWrap/>
              <w:overflowPunct/>
              <w:topLinePunct w:val="0"/>
              <w:autoSpaceDE/>
              <w:autoSpaceDN/>
              <w:bidi w:val="0"/>
              <w:adjustRightInd w:val="0"/>
              <w:snapToGrid w:val="0"/>
              <w:spacing w:line="480" w:lineRule="exact"/>
              <w:ind w:left="0" w:leftChars="0" w:right="0" w:rightChars="0" w:firstLine="561"/>
              <w:jc w:val="both"/>
              <w:textAlignment w:val="baseline"/>
              <w:rPr>
                <w:rFonts w:hint="eastAsia" w:ascii="仿宋_GB2312" w:hAnsi="仿宋_GB2312" w:eastAsia="仿宋_GB2312" w:cs="仿宋_GB2312"/>
                <w:b w:val="0"/>
                <w:bCs/>
                <w:color w:val="auto"/>
                <w:sz w:val="28"/>
                <w:szCs w:val="28"/>
                <w:lang w:val="en-US" w:eastAsia="zh-CN"/>
              </w:rPr>
            </w:pPr>
            <w:r>
              <w:rPr>
                <w:rFonts w:hint="eastAsia" w:ascii="仿宋_GB2312" w:hAnsi="仿宋_GB2312" w:eastAsia="仿宋_GB2312" w:cs="仿宋_GB2312"/>
                <w:b w:val="0"/>
                <w:bCs/>
                <w:color w:val="auto"/>
                <w:sz w:val="28"/>
                <w:szCs w:val="28"/>
                <w:lang w:val="en-US" w:eastAsia="zh-CN"/>
              </w:rPr>
              <w:t>本项目无废水外排，水平衡见下图。</w:t>
            </w:r>
          </w:p>
          <w:p>
            <w:pPr>
              <w:jc w:val="center"/>
              <w:rPr>
                <w:color w:val="auto"/>
              </w:rPr>
            </w:pPr>
          </w:p>
          <w:p>
            <w:pPr>
              <w:pStyle w:val="2"/>
              <w:rPr>
                <w:color w:val="auto"/>
              </w:rPr>
            </w:pPr>
          </w:p>
          <w:p>
            <w:pPr>
              <w:pStyle w:val="3"/>
              <w:widowControl w:val="0"/>
              <w:numPr>
                <w:ilvl w:val="0"/>
                <w:numId w:val="0"/>
              </w:numPr>
              <w:jc w:val="both"/>
              <w:rPr>
                <w:color w:val="auto"/>
              </w:rPr>
            </w:pPr>
          </w:p>
          <w:p>
            <w:pPr>
              <w:pStyle w:val="3"/>
              <w:widowControl w:val="0"/>
              <w:numPr>
                <w:ilvl w:val="0"/>
                <w:numId w:val="0"/>
              </w:numPr>
              <w:jc w:val="both"/>
              <w:rPr>
                <w:color w:val="auto"/>
              </w:rPr>
            </w:pPr>
          </w:p>
          <w:p>
            <w:pPr>
              <w:jc w:val="center"/>
              <w:rPr>
                <w:color w:val="auto"/>
              </w:rPr>
            </w:pPr>
            <w:r>
              <w:rPr>
                <w:color w:val="auto"/>
              </w:rPr>
              <w:drawing>
                <wp:inline distT="0" distB="0" distL="114300" distR="114300">
                  <wp:extent cx="5448300" cy="3152775"/>
                  <wp:effectExtent l="0" t="0" r="0" b="952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8"/>
                          <a:stretch>
                            <a:fillRect/>
                          </a:stretch>
                        </pic:blipFill>
                        <pic:spPr>
                          <a:xfrm>
                            <a:off x="0" y="0"/>
                            <a:ext cx="5448300" cy="3152775"/>
                          </a:xfrm>
                          <a:prstGeom prst="rect">
                            <a:avLst/>
                          </a:prstGeom>
                          <a:noFill/>
                          <a:ln>
                            <a:noFill/>
                          </a:ln>
                        </pic:spPr>
                      </pic:pic>
                    </a:graphicData>
                  </a:graphic>
                </wp:inline>
              </w:drawing>
            </w:r>
          </w:p>
          <w:p>
            <w:pPr>
              <w:jc w:val="center"/>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水平衡图（单位：t/d）</w:t>
            </w:r>
          </w:p>
          <w:p>
            <w:pPr>
              <w:pStyle w:val="4"/>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rPr>
                <w:rFonts w:hint="eastAsia" w:ascii="仿宋_GB2312" w:hAnsi="仿宋_GB2312" w:eastAsia="仿宋_GB2312" w:cs="仿宋_GB2312"/>
                <w:b/>
                <w:color w:val="auto"/>
                <w:sz w:val="28"/>
                <w:szCs w:val="28"/>
                <w:lang w:val="en-US" w:eastAsia="zh-CN"/>
              </w:rPr>
            </w:pPr>
            <w:r>
              <w:rPr>
                <w:rFonts w:hint="eastAsia" w:ascii="仿宋_GB2312" w:hAnsi="仿宋_GB2312" w:eastAsia="仿宋_GB2312" w:cs="仿宋_GB2312"/>
                <w:b/>
                <w:color w:val="auto"/>
                <w:sz w:val="28"/>
                <w:szCs w:val="28"/>
                <w:lang w:val="en-US" w:eastAsia="zh-CN"/>
              </w:rPr>
              <w:t>项目环保设施投资及“三同时”落实情况</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eastAsia" w:ascii="仿宋_GB2312" w:hAnsi="仿宋_GB2312" w:eastAsia="仿宋_GB2312" w:cs="仿宋_GB2312"/>
                <w:b/>
                <w:bCs/>
                <w:color w:val="auto"/>
                <w:szCs w:val="21"/>
              </w:rPr>
            </w:pPr>
            <w:r>
              <w:rPr>
                <w:rFonts w:hint="eastAsia" w:ascii="仿宋_GB2312" w:hAnsi="仿宋_GB2312" w:eastAsia="仿宋_GB2312" w:cs="仿宋_GB2312"/>
                <w:b/>
                <w:bCs/>
                <w:color w:val="auto"/>
                <w:sz w:val="28"/>
                <w:szCs w:val="28"/>
                <w:lang w:eastAsia="zh-CN"/>
              </w:rPr>
              <w:t>表</w:t>
            </w:r>
            <w:r>
              <w:rPr>
                <w:rFonts w:hint="eastAsia" w:ascii="仿宋_GB2312" w:hAnsi="仿宋_GB2312" w:eastAsia="仿宋_GB2312" w:cs="仿宋_GB2312"/>
                <w:b/>
                <w:bCs/>
                <w:color w:val="auto"/>
                <w:sz w:val="28"/>
                <w:szCs w:val="28"/>
                <w:lang w:val="en-US" w:eastAsia="zh-CN"/>
              </w:rPr>
              <w:t>2-5</w:t>
            </w:r>
            <w:r>
              <w:rPr>
                <w:rFonts w:hint="eastAsia" w:ascii="仿宋_GB2312" w:hAnsi="仿宋_GB2312" w:eastAsia="仿宋_GB2312" w:cs="仿宋_GB2312"/>
                <w:b/>
                <w:bCs/>
                <w:color w:val="auto"/>
                <w:sz w:val="28"/>
                <w:szCs w:val="28"/>
              </w:rPr>
              <w:t>主要</w:t>
            </w:r>
            <w:r>
              <w:rPr>
                <w:rFonts w:hint="eastAsia" w:ascii="仿宋_GB2312" w:hAnsi="仿宋_GB2312" w:eastAsia="仿宋_GB2312" w:cs="仿宋_GB2312"/>
                <w:b/>
                <w:bCs/>
                <w:color w:val="auto"/>
                <w:sz w:val="28"/>
                <w:szCs w:val="28"/>
                <w:lang w:val="en-US" w:eastAsia="zh-CN"/>
              </w:rPr>
              <w:t>环保设施投资落实情况</w:t>
            </w:r>
            <w:r>
              <w:rPr>
                <w:rFonts w:hint="eastAsia" w:ascii="仿宋_GB2312" w:hAnsi="仿宋_GB2312" w:eastAsia="仿宋_GB2312" w:cs="仿宋_GB2312"/>
                <w:b/>
                <w:bCs/>
                <w:color w:val="auto"/>
                <w:sz w:val="28"/>
                <w:szCs w:val="28"/>
              </w:rPr>
              <w:t>一览表</w:t>
            </w:r>
          </w:p>
          <w:tbl>
            <w:tblPr>
              <w:tblStyle w:val="16"/>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59"/>
              <w:gridCol w:w="1087"/>
              <w:gridCol w:w="2501"/>
              <w:gridCol w:w="1702"/>
              <w:gridCol w:w="2205"/>
              <w:gridCol w:w="12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86" w:type="pct"/>
                  <w:gridSpan w:val="2"/>
                  <w:vAlign w:val="center"/>
                </w:tcPr>
                <w:p>
                  <w:pPr>
                    <w:pStyle w:val="30"/>
                    <w:keepNext w:val="0"/>
                    <w:keepLines w:val="0"/>
                    <w:pageBreakBefore w:val="0"/>
                    <w:widowControl w:val="0"/>
                    <w:tabs>
                      <w:tab w:val="left" w:pos="638"/>
                    </w:tabs>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类</w:t>
                  </w:r>
                  <w:r>
                    <w:rPr>
                      <w:rFonts w:hint="eastAsia" w:ascii="仿宋_GB2312" w:hAnsi="仿宋_GB2312" w:eastAsia="仿宋_GB2312" w:cs="仿宋_GB2312"/>
                      <w:b/>
                      <w:bCs/>
                      <w:color w:val="auto"/>
                      <w:sz w:val="21"/>
                      <w:szCs w:val="21"/>
                    </w:rPr>
                    <w:tab/>
                  </w:r>
                  <w:r>
                    <w:rPr>
                      <w:rFonts w:hint="eastAsia" w:ascii="仿宋_GB2312" w:hAnsi="仿宋_GB2312" w:eastAsia="仿宋_GB2312" w:cs="仿宋_GB2312"/>
                      <w:b/>
                      <w:bCs/>
                      <w:color w:val="auto"/>
                      <w:sz w:val="21"/>
                      <w:szCs w:val="21"/>
                    </w:rPr>
                    <w:t>别</w:t>
                  </w:r>
                </w:p>
              </w:tc>
              <w:tc>
                <w:tcPr>
                  <w:tcW w:w="1345"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lang w:val="en-US" w:eastAsia="zh-CN"/>
                    </w:rPr>
                    <w:t>环评</w:t>
                  </w:r>
                  <w:r>
                    <w:rPr>
                      <w:rFonts w:hint="eastAsia" w:ascii="仿宋_GB2312" w:hAnsi="仿宋_GB2312" w:eastAsia="仿宋_GB2312" w:cs="仿宋_GB2312"/>
                      <w:b/>
                      <w:bCs/>
                      <w:color w:val="auto"/>
                      <w:sz w:val="21"/>
                      <w:szCs w:val="21"/>
                    </w:rPr>
                    <w:t>主要环保措施</w:t>
                  </w:r>
                </w:p>
              </w:tc>
              <w:tc>
                <w:tcPr>
                  <w:tcW w:w="916"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投资估算(万元)</w:t>
                  </w:r>
                </w:p>
              </w:tc>
              <w:tc>
                <w:tcPr>
                  <w:tcW w:w="1187"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仿宋_GB2312" w:hAnsi="仿宋_GB2312" w:eastAsia="仿宋_GB2312" w:cs="仿宋_GB2312"/>
                      <w:b/>
                      <w:bCs/>
                      <w:color w:val="auto"/>
                      <w:sz w:val="21"/>
                      <w:szCs w:val="21"/>
                      <w:lang w:val="en-US" w:eastAsia="zh-CN"/>
                    </w:rPr>
                  </w:pPr>
                  <w:r>
                    <w:rPr>
                      <w:rFonts w:hint="eastAsia" w:ascii="仿宋_GB2312" w:hAnsi="仿宋_GB2312" w:eastAsia="仿宋_GB2312" w:cs="仿宋_GB2312"/>
                      <w:b/>
                      <w:bCs/>
                      <w:color w:val="auto"/>
                      <w:sz w:val="21"/>
                      <w:szCs w:val="21"/>
                      <w:lang w:val="en-US" w:eastAsia="zh-CN"/>
                    </w:rPr>
                    <w:t>实际主要环保设施</w:t>
                  </w:r>
                </w:p>
              </w:tc>
              <w:tc>
                <w:tcPr>
                  <w:tcW w:w="663"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仿宋_GB2312" w:hAnsi="仿宋_GB2312" w:eastAsia="仿宋_GB2312" w:cs="仿宋_GB2312"/>
                      <w:b/>
                      <w:bCs/>
                      <w:color w:val="auto"/>
                      <w:sz w:val="21"/>
                      <w:szCs w:val="21"/>
                      <w:lang w:val="en-US" w:eastAsia="zh-CN"/>
                    </w:rPr>
                  </w:pPr>
                  <w:r>
                    <w:rPr>
                      <w:rFonts w:hint="eastAsia" w:ascii="仿宋_GB2312" w:hAnsi="仿宋_GB2312" w:eastAsia="仿宋_GB2312" w:cs="仿宋_GB2312"/>
                      <w:b/>
                      <w:bCs/>
                      <w:color w:val="auto"/>
                      <w:sz w:val="21"/>
                      <w:szCs w:val="21"/>
                      <w:lang w:val="en-US" w:eastAsia="zh-CN"/>
                    </w:rPr>
                    <w:t>实际投资（万元）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01" w:type="pct"/>
                  <w:vMerge w:val="restar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p>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营运期</w:t>
                  </w:r>
                </w:p>
              </w:tc>
              <w:tc>
                <w:tcPr>
                  <w:tcW w:w="584"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噪声</w:t>
                  </w:r>
                </w:p>
              </w:tc>
              <w:tc>
                <w:tcPr>
                  <w:tcW w:w="1345"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减震垫、墙体隔声</w:t>
                  </w:r>
                </w:p>
              </w:tc>
              <w:tc>
                <w:tcPr>
                  <w:tcW w:w="916"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w w:val="99"/>
                      <w:sz w:val="21"/>
                      <w:szCs w:val="21"/>
                    </w:rPr>
                    <w:t>3</w:t>
                  </w:r>
                </w:p>
              </w:tc>
              <w:tc>
                <w:tcPr>
                  <w:tcW w:w="1187"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eastAsia" w:ascii="仿宋_GB2312" w:hAnsi="仿宋_GB2312" w:eastAsia="仿宋_GB2312" w:cs="仿宋_GB2312"/>
                      <w:color w:val="auto"/>
                      <w:w w:val="99"/>
                      <w:sz w:val="21"/>
                      <w:szCs w:val="21"/>
                    </w:rPr>
                  </w:pPr>
                  <w:r>
                    <w:rPr>
                      <w:rFonts w:hint="eastAsia" w:ascii="仿宋_GB2312" w:hAnsi="仿宋_GB2312" w:eastAsia="仿宋_GB2312" w:cs="仿宋_GB2312"/>
                      <w:color w:val="auto"/>
                      <w:sz w:val="21"/>
                      <w:szCs w:val="21"/>
                    </w:rPr>
                    <w:t>减震垫、墙体隔声</w:t>
                  </w:r>
                </w:p>
              </w:tc>
              <w:tc>
                <w:tcPr>
                  <w:tcW w:w="663"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w w:val="99"/>
                      <w:sz w:val="21"/>
                      <w:szCs w:val="21"/>
                      <w:lang w:val="en-US" w:eastAsia="zh-CN"/>
                    </w:rPr>
                  </w:pPr>
                  <w:r>
                    <w:rPr>
                      <w:rFonts w:hint="eastAsia" w:ascii="仿宋_GB2312" w:hAnsi="仿宋_GB2312" w:eastAsia="仿宋_GB2312" w:cs="仿宋_GB2312"/>
                      <w:color w:val="auto"/>
                      <w:w w:val="99"/>
                      <w:sz w:val="21"/>
                      <w:szCs w:val="21"/>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01"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p>
              </w:tc>
              <w:tc>
                <w:tcPr>
                  <w:tcW w:w="584"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废水</w:t>
                  </w:r>
                </w:p>
              </w:tc>
              <w:tc>
                <w:tcPr>
                  <w:tcW w:w="1345"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沉淀池2个、化粪池1个及配套设施</w:t>
                  </w:r>
                </w:p>
              </w:tc>
              <w:tc>
                <w:tcPr>
                  <w:tcW w:w="916"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10</w:t>
                  </w:r>
                </w:p>
              </w:tc>
              <w:tc>
                <w:tcPr>
                  <w:tcW w:w="1187"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沉淀池2个、化粪池1个及配套设施</w:t>
                  </w:r>
                </w:p>
              </w:tc>
              <w:tc>
                <w:tcPr>
                  <w:tcW w:w="663"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01"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p>
              </w:tc>
              <w:tc>
                <w:tcPr>
                  <w:tcW w:w="584"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固废</w:t>
                  </w:r>
                </w:p>
              </w:tc>
              <w:tc>
                <w:tcPr>
                  <w:tcW w:w="1345"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垃圾桶</w:t>
                  </w:r>
                </w:p>
              </w:tc>
              <w:tc>
                <w:tcPr>
                  <w:tcW w:w="916"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1.0</w:t>
                  </w:r>
                </w:p>
              </w:tc>
              <w:tc>
                <w:tcPr>
                  <w:tcW w:w="1187"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垃圾桶</w:t>
                  </w:r>
                </w:p>
              </w:tc>
              <w:tc>
                <w:tcPr>
                  <w:tcW w:w="663"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1" w:hRule="atLeast"/>
              </w:trPr>
              <w:tc>
                <w:tcPr>
                  <w:tcW w:w="301"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p>
              </w:tc>
              <w:tc>
                <w:tcPr>
                  <w:tcW w:w="584"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废气</w:t>
                  </w:r>
                </w:p>
              </w:tc>
              <w:tc>
                <w:tcPr>
                  <w:tcW w:w="1345"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脉冲布袋除尘器、排风扇</w:t>
                  </w:r>
                </w:p>
              </w:tc>
              <w:tc>
                <w:tcPr>
                  <w:tcW w:w="916"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30</w:t>
                  </w:r>
                </w:p>
              </w:tc>
              <w:tc>
                <w:tcPr>
                  <w:tcW w:w="1187"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脉冲布袋除尘器、排风扇</w:t>
                  </w:r>
                </w:p>
              </w:tc>
              <w:tc>
                <w:tcPr>
                  <w:tcW w:w="663"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232" w:type="pct"/>
                  <w:gridSpan w:val="3"/>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总计</w:t>
                  </w:r>
                </w:p>
              </w:tc>
              <w:tc>
                <w:tcPr>
                  <w:tcW w:w="916"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44</w:t>
                  </w:r>
                </w:p>
              </w:tc>
              <w:tc>
                <w:tcPr>
                  <w:tcW w:w="1187"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w:t>
                  </w:r>
                </w:p>
              </w:tc>
              <w:tc>
                <w:tcPr>
                  <w:tcW w:w="663" w:type="pct"/>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45</w:t>
                  </w:r>
                </w:p>
              </w:tc>
            </w:tr>
          </w:tbl>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lang w:val="en-US" w:eastAsia="zh-CN"/>
              </w:rPr>
              <w:t>表2-6“三同时”落实情况</w:t>
            </w:r>
            <w:r>
              <w:rPr>
                <w:rFonts w:hint="eastAsia" w:ascii="仿宋_GB2312" w:hAnsi="仿宋_GB2312" w:eastAsia="仿宋_GB2312" w:cs="仿宋_GB2312"/>
                <w:b/>
                <w:color w:val="auto"/>
                <w:sz w:val="28"/>
                <w:szCs w:val="28"/>
              </w:rPr>
              <w:t>一览表</w:t>
            </w:r>
          </w:p>
          <w:tbl>
            <w:tblPr>
              <w:tblStyle w:val="16"/>
              <w:tblW w:w="4997"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039"/>
              <w:gridCol w:w="1088"/>
              <w:gridCol w:w="1632"/>
              <w:gridCol w:w="3076"/>
              <w:gridCol w:w="1339"/>
              <w:gridCol w:w="110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560" w:type="pct"/>
                  <w:tcBorders>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项目</w:t>
                  </w:r>
                </w:p>
              </w:tc>
              <w:tc>
                <w:tcPr>
                  <w:tcW w:w="1465" w:type="pct"/>
                  <w:gridSpan w:val="2"/>
                  <w:tcBorders>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lang w:val="en-US" w:eastAsia="zh-CN"/>
                    </w:rPr>
                    <w:t>环评设计</w:t>
                  </w:r>
                  <w:r>
                    <w:rPr>
                      <w:rFonts w:hint="eastAsia" w:ascii="仿宋_GB2312" w:hAnsi="仿宋_GB2312" w:eastAsia="仿宋_GB2312" w:cs="仿宋_GB2312"/>
                      <w:b/>
                      <w:bCs/>
                      <w:color w:val="auto"/>
                      <w:sz w:val="21"/>
                      <w:szCs w:val="21"/>
                    </w:rPr>
                    <w:t>主要环保措施</w:t>
                  </w:r>
                </w:p>
              </w:tc>
              <w:tc>
                <w:tcPr>
                  <w:tcW w:w="1657" w:type="pct"/>
                  <w:tcBorders>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预期效果</w:t>
                  </w:r>
                </w:p>
              </w:tc>
              <w:tc>
                <w:tcPr>
                  <w:tcW w:w="721" w:type="pct"/>
                  <w:tcBorders>
                    <w:left w:val="single" w:color="000000" w:sz="4" w:space="0"/>
                    <w:bottom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仿宋_GB2312" w:hAnsi="仿宋_GB2312" w:eastAsia="仿宋_GB2312" w:cs="仿宋_GB2312"/>
                      <w:b/>
                      <w:bCs/>
                      <w:color w:val="auto"/>
                      <w:sz w:val="21"/>
                      <w:szCs w:val="21"/>
                      <w:lang w:val="en-US" w:eastAsia="zh-CN"/>
                    </w:rPr>
                  </w:pPr>
                  <w:r>
                    <w:rPr>
                      <w:rFonts w:hint="eastAsia" w:ascii="仿宋_GB2312" w:hAnsi="仿宋_GB2312" w:eastAsia="仿宋_GB2312" w:cs="仿宋_GB2312"/>
                      <w:b/>
                      <w:bCs/>
                      <w:color w:val="auto"/>
                      <w:sz w:val="21"/>
                      <w:szCs w:val="21"/>
                      <w:lang w:val="en-US" w:eastAsia="zh-CN"/>
                    </w:rPr>
                    <w:t>实际主要环保设施</w:t>
                  </w:r>
                </w:p>
              </w:tc>
              <w:tc>
                <w:tcPr>
                  <w:tcW w:w="595" w:type="pct"/>
                  <w:tcBorders>
                    <w:left w:val="single" w:color="000000" w:sz="4" w:space="0"/>
                    <w:bottom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仿宋_GB2312" w:hAnsi="仿宋_GB2312" w:eastAsia="仿宋_GB2312" w:cs="仿宋_GB2312"/>
                      <w:b/>
                      <w:bCs/>
                      <w:color w:val="auto"/>
                      <w:sz w:val="21"/>
                      <w:szCs w:val="21"/>
                      <w:lang w:val="en-US" w:eastAsia="zh-CN"/>
                    </w:rPr>
                  </w:pPr>
                  <w:r>
                    <w:rPr>
                      <w:rFonts w:hint="eastAsia" w:ascii="仿宋_GB2312" w:hAnsi="仿宋_GB2312" w:eastAsia="仿宋_GB2312" w:cs="仿宋_GB2312"/>
                      <w:b/>
                      <w:bCs/>
                      <w:color w:val="auto"/>
                      <w:sz w:val="21"/>
                      <w:szCs w:val="21"/>
                      <w:lang w:val="en-US" w:eastAsia="zh-CN"/>
                    </w:rPr>
                    <w:t>实际效果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3" w:hRule="atLeast"/>
              </w:trPr>
              <w:tc>
                <w:tcPr>
                  <w:tcW w:w="560" w:type="pct"/>
                  <w:tcBorders>
                    <w:top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噪声治理</w:t>
                  </w:r>
                </w:p>
              </w:tc>
              <w:tc>
                <w:tcPr>
                  <w:tcW w:w="1465" w:type="pct"/>
                  <w:gridSpan w:val="2"/>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减震垫</w:t>
                  </w:r>
                </w:p>
              </w:tc>
              <w:tc>
                <w:tcPr>
                  <w:tcW w:w="1657"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达到GB12348-2008《工业企业厂界环境噪声排放标准》中2类区标准要求</w:t>
                  </w:r>
                </w:p>
              </w:tc>
              <w:tc>
                <w:tcPr>
                  <w:tcW w:w="721" w:type="pct"/>
                  <w:tcBorders>
                    <w:top w:val="single" w:color="000000" w:sz="4" w:space="0"/>
                    <w:lef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仿宋_GB2312" w:hAnsi="仿宋_GB2312" w:eastAsia="仿宋_GB2312" w:cs="仿宋_GB2312"/>
                      <w:color w:val="auto"/>
                      <w:spacing w:val="-1"/>
                      <w:sz w:val="21"/>
                      <w:szCs w:val="21"/>
                      <w:lang w:val="en-US" w:eastAsia="zh-CN"/>
                    </w:rPr>
                  </w:pPr>
                  <w:r>
                    <w:rPr>
                      <w:rFonts w:hint="eastAsia" w:ascii="仿宋_GB2312" w:hAnsi="仿宋_GB2312" w:eastAsia="仿宋_GB2312" w:cs="仿宋_GB2312"/>
                      <w:color w:val="auto"/>
                      <w:spacing w:val="-1"/>
                      <w:sz w:val="21"/>
                      <w:szCs w:val="21"/>
                      <w:lang w:val="en-US" w:eastAsia="zh-CN"/>
                    </w:rPr>
                    <w:t>与环评一致</w:t>
                  </w:r>
                </w:p>
              </w:tc>
              <w:tc>
                <w:tcPr>
                  <w:tcW w:w="595" w:type="pct"/>
                  <w:tcBorders>
                    <w:top w:val="single" w:color="000000" w:sz="4" w:space="0"/>
                    <w:lef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仿宋_GB2312" w:hAnsi="仿宋_GB2312" w:eastAsia="仿宋_GB2312" w:cs="仿宋_GB2312"/>
                      <w:color w:val="auto"/>
                      <w:spacing w:val="-1"/>
                      <w:sz w:val="21"/>
                      <w:szCs w:val="21"/>
                      <w:lang w:val="en-US" w:eastAsia="zh-CN"/>
                    </w:rPr>
                  </w:pPr>
                  <w:r>
                    <w:rPr>
                      <w:rFonts w:hint="eastAsia" w:ascii="仿宋_GB2312" w:hAnsi="仿宋_GB2312" w:eastAsia="仿宋_GB2312" w:cs="仿宋_GB2312"/>
                      <w:color w:val="auto"/>
                      <w:spacing w:val="-1"/>
                      <w:sz w:val="21"/>
                      <w:szCs w:val="21"/>
                      <w:lang w:val="en-US" w:eastAsia="zh-CN"/>
                    </w:rPr>
                    <w:t>经两日检测，符合相关标准要求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8" w:hRule="atLeast"/>
              </w:trPr>
              <w:tc>
                <w:tcPr>
                  <w:tcW w:w="560" w:type="pct"/>
                  <w:vMerge w:val="restart"/>
                  <w:tcBorders>
                    <w:top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p>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p>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p>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p>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p>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废气治理</w:t>
                  </w:r>
                </w:p>
              </w:tc>
              <w:tc>
                <w:tcPr>
                  <w:tcW w:w="586"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水泥罐</w:t>
                  </w:r>
                </w:p>
              </w:tc>
              <w:tc>
                <w:tcPr>
                  <w:tcW w:w="879"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布袋除尘器，处理风量2000m3/h；除尘效率≥99.8%，</w:t>
                  </w:r>
                </w:p>
              </w:tc>
              <w:tc>
                <w:tcPr>
                  <w:tcW w:w="1657" w:type="pct"/>
                  <w:vMerge w:val="restar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达到《水泥工业大气污染物</w:t>
                  </w:r>
                  <w:r>
                    <w:rPr>
                      <w:rFonts w:hint="eastAsia" w:ascii="仿宋_GB2312" w:hAnsi="仿宋_GB2312" w:eastAsia="仿宋_GB2312" w:cs="仿宋_GB2312"/>
                      <w:color w:val="auto"/>
                      <w:spacing w:val="-7"/>
                      <w:sz w:val="21"/>
                      <w:szCs w:val="21"/>
                    </w:rPr>
                    <w:t>排放标准》</w:t>
                  </w:r>
                  <w:r>
                    <w:rPr>
                      <w:rFonts w:hint="eastAsia" w:ascii="仿宋_GB2312" w:hAnsi="仿宋_GB2312" w:eastAsia="仿宋_GB2312" w:cs="仿宋_GB2312"/>
                      <w:color w:val="auto"/>
                      <w:sz w:val="21"/>
                      <w:szCs w:val="21"/>
                    </w:rPr>
                    <w:t>（GB4915-2013）</w:t>
                  </w:r>
                </w:p>
              </w:tc>
              <w:tc>
                <w:tcPr>
                  <w:tcW w:w="721" w:type="pct"/>
                  <w:tcBorders>
                    <w:top w:val="nil"/>
                    <w:lef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
                      <w:sz w:val="21"/>
                      <w:szCs w:val="21"/>
                      <w:lang w:val="en-US" w:eastAsia="zh-CN"/>
                    </w:rPr>
                    <w:t>与环评一致</w:t>
                  </w:r>
                </w:p>
              </w:tc>
              <w:tc>
                <w:tcPr>
                  <w:tcW w:w="595" w:type="pct"/>
                  <w:vMerge w:val="restart"/>
                  <w:tcBorders>
                    <w:top w:val="nil"/>
                    <w:lef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
                      <w:sz w:val="21"/>
                      <w:szCs w:val="21"/>
                      <w:lang w:val="en-US"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8" w:hRule="atLeast"/>
              </w:trPr>
              <w:tc>
                <w:tcPr>
                  <w:tcW w:w="560" w:type="pct"/>
                  <w:vMerge w:val="continue"/>
                  <w:tcBorders>
                    <w:top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p>
              </w:tc>
              <w:tc>
                <w:tcPr>
                  <w:tcW w:w="586"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粉煤灰罐</w:t>
                  </w:r>
                </w:p>
              </w:tc>
              <w:tc>
                <w:tcPr>
                  <w:tcW w:w="879"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布袋除尘器，处理风量2000m3/h；除尘效率≥99.8%</w:t>
                  </w:r>
                </w:p>
              </w:tc>
              <w:tc>
                <w:tcPr>
                  <w:tcW w:w="1657" w:type="pct"/>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p>
              </w:tc>
              <w:tc>
                <w:tcPr>
                  <w:tcW w:w="721" w:type="pct"/>
                  <w:tcBorders>
                    <w:top w:val="nil"/>
                    <w:lef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
                      <w:sz w:val="21"/>
                      <w:szCs w:val="21"/>
                      <w:lang w:val="en-US" w:eastAsia="zh-CN"/>
                    </w:rPr>
                    <w:t>与环评一致</w:t>
                  </w:r>
                </w:p>
              </w:tc>
              <w:tc>
                <w:tcPr>
                  <w:tcW w:w="595" w:type="pct"/>
                  <w:vMerge w:val="continue"/>
                  <w:tcBorders>
                    <w:lef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9" w:hRule="atLeast"/>
              </w:trPr>
              <w:tc>
                <w:tcPr>
                  <w:tcW w:w="560" w:type="pct"/>
                  <w:vMerge w:val="continue"/>
                  <w:tcBorders>
                    <w:top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p>
              </w:tc>
              <w:tc>
                <w:tcPr>
                  <w:tcW w:w="586"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原料堆场</w:t>
                  </w:r>
                </w:p>
              </w:tc>
              <w:tc>
                <w:tcPr>
                  <w:tcW w:w="879"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仓库封闭、进出车辆冲洗、地面清洗、加强粉尘管理等</w:t>
                  </w:r>
                </w:p>
              </w:tc>
              <w:tc>
                <w:tcPr>
                  <w:tcW w:w="1657" w:type="pct"/>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p>
              </w:tc>
              <w:tc>
                <w:tcPr>
                  <w:tcW w:w="721" w:type="pct"/>
                  <w:tcBorders>
                    <w:top w:val="nil"/>
                    <w:lef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
                      <w:sz w:val="21"/>
                      <w:szCs w:val="21"/>
                      <w:lang w:val="en-US" w:eastAsia="zh-CN"/>
                    </w:rPr>
                    <w:t>与环评一致</w:t>
                  </w:r>
                </w:p>
              </w:tc>
              <w:tc>
                <w:tcPr>
                  <w:tcW w:w="595" w:type="pct"/>
                  <w:vMerge w:val="continue"/>
                  <w:tcBorders>
                    <w:lef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1" w:hRule="atLeast"/>
              </w:trPr>
              <w:tc>
                <w:tcPr>
                  <w:tcW w:w="560" w:type="pct"/>
                  <w:vMerge w:val="continue"/>
                  <w:tcBorders>
                    <w:top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p>
              </w:tc>
              <w:tc>
                <w:tcPr>
                  <w:tcW w:w="586"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p>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焊接烟尘</w:t>
                  </w:r>
                </w:p>
              </w:tc>
              <w:tc>
                <w:tcPr>
                  <w:tcW w:w="879"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p>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焊接烟尘净化器</w:t>
                  </w:r>
                </w:p>
              </w:tc>
              <w:tc>
                <w:tcPr>
                  <w:tcW w:w="1657"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《大气污染物综合排放标准》（GB16297-1996）无组织排放监控浓度限值</w:t>
                  </w:r>
                </w:p>
              </w:tc>
              <w:tc>
                <w:tcPr>
                  <w:tcW w:w="721" w:type="pct"/>
                  <w:tcBorders>
                    <w:top w:val="nil"/>
                    <w:lef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
                      <w:sz w:val="21"/>
                      <w:szCs w:val="21"/>
                      <w:lang w:val="en-US" w:eastAsia="zh-CN"/>
                    </w:rPr>
                    <w:t>与环评一致</w:t>
                  </w:r>
                </w:p>
              </w:tc>
              <w:tc>
                <w:tcPr>
                  <w:tcW w:w="595" w:type="pct"/>
                  <w:tcBorders>
                    <w:top w:val="nil"/>
                    <w:lef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
                      <w:sz w:val="21"/>
                      <w:szCs w:val="21"/>
                      <w:lang w:val="en-US" w:eastAsia="zh-CN"/>
                    </w:rPr>
                    <w:t>经两日检测，符合相关标准要求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7" w:hRule="atLeast"/>
              </w:trPr>
              <w:tc>
                <w:tcPr>
                  <w:tcW w:w="560" w:type="pct"/>
                  <w:tcBorders>
                    <w:top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废水治理</w:t>
                  </w:r>
                </w:p>
              </w:tc>
              <w:tc>
                <w:tcPr>
                  <w:tcW w:w="1465" w:type="pct"/>
                  <w:gridSpan w:val="2"/>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化粪池1个、沉淀池2个</w:t>
                  </w:r>
                </w:p>
              </w:tc>
              <w:tc>
                <w:tcPr>
                  <w:tcW w:w="1657" w:type="pct"/>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w w:val="99"/>
                      <w:sz w:val="21"/>
                      <w:szCs w:val="21"/>
                    </w:rPr>
                    <w:t>/</w:t>
                  </w:r>
                </w:p>
              </w:tc>
              <w:tc>
                <w:tcPr>
                  <w:tcW w:w="721" w:type="pct"/>
                  <w:tcBorders>
                    <w:top w:val="nil"/>
                    <w:lef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ascii="仿宋_GB2312" w:hAnsi="仿宋_GB2312" w:eastAsia="仿宋_GB2312" w:cs="仿宋_GB2312"/>
                      <w:color w:val="auto"/>
                      <w:sz w:val="21"/>
                      <w:szCs w:val="21"/>
                      <w:lang w:val="zh-CN" w:eastAsia="zh-CN" w:bidi="zh-CN"/>
                    </w:rPr>
                  </w:pPr>
                  <w:r>
                    <w:rPr>
                      <w:rFonts w:hint="eastAsia" w:ascii="仿宋_GB2312" w:hAnsi="仿宋_GB2312" w:eastAsia="仿宋_GB2312" w:cs="仿宋_GB2312"/>
                      <w:color w:val="auto"/>
                      <w:spacing w:val="-1"/>
                      <w:sz w:val="21"/>
                      <w:szCs w:val="21"/>
                      <w:lang w:val="en-US" w:eastAsia="zh-CN"/>
                    </w:rPr>
                    <w:t>与环评一致</w:t>
                  </w:r>
                </w:p>
              </w:tc>
              <w:tc>
                <w:tcPr>
                  <w:tcW w:w="595" w:type="pct"/>
                  <w:tcBorders>
                    <w:top w:val="nil"/>
                    <w:lef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57" w:hRule="atLeast"/>
              </w:trPr>
              <w:tc>
                <w:tcPr>
                  <w:tcW w:w="560" w:type="pct"/>
                  <w:tcBorders>
                    <w:top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固废治理</w:t>
                  </w:r>
                </w:p>
              </w:tc>
              <w:tc>
                <w:tcPr>
                  <w:tcW w:w="1465" w:type="pct"/>
                  <w:gridSpan w:val="2"/>
                  <w:tcBorders>
                    <w:top w:val="single" w:color="000000" w:sz="4" w:space="0"/>
                    <w:left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生产过程中布袋除尘器收集的粉尘，全部回收作为原料再利用。生产过程中废包装袋，经集中收集后交由物资回收部门回用利用。生活垃圾，经厂区内统一收集后交由当地环卫部门处</w:t>
                  </w:r>
                </w:p>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理</w:t>
                  </w:r>
                </w:p>
              </w:tc>
              <w:tc>
                <w:tcPr>
                  <w:tcW w:w="1657" w:type="pct"/>
                  <w:tcBorders>
                    <w:top w:val="single" w:color="000000" w:sz="4" w:space="0"/>
                    <w:left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符合环境卫生管理要求和综合利用原则</w:t>
                  </w:r>
                </w:p>
              </w:tc>
              <w:tc>
                <w:tcPr>
                  <w:tcW w:w="721" w:type="pct"/>
                  <w:tcBorders>
                    <w:top w:val="nil"/>
                    <w:lef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ascii="仿宋_GB2312" w:hAnsi="仿宋_GB2312" w:eastAsia="仿宋_GB2312" w:cs="仿宋_GB2312"/>
                      <w:color w:val="auto"/>
                      <w:sz w:val="21"/>
                      <w:szCs w:val="21"/>
                      <w:lang w:val="zh-CN" w:eastAsia="zh-CN" w:bidi="zh-CN"/>
                    </w:rPr>
                  </w:pPr>
                  <w:r>
                    <w:rPr>
                      <w:rFonts w:hint="eastAsia" w:ascii="仿宋_GB2312" w:hAnsi="仿宋_GB2312" w:eastAsia="仿宋_GB2312" w:cs="仿宋_GB2312"/>
                      <w:color w:val="auto"/>
                      <w:spacing w:val="-1"/>
                      <w:sz w:val="21"/>
                      <w:szCs w:val="21"/>
                      <w:lang w:val="en-US" w:eastAsia="zh-CN"/>
                    </w:rPr>
                    <w:t>与环评一致</w:t>
                  </w:r>
                </w:p>
              </w:tc>
              <w:tc>
                <w:tcPr>
                  <w:tcW w:w="595" w:type="pct"/>
                  <w:tcBorders>
                    <w:top w:val="nil"/>
                    <w:lef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符合环境卫生管理要求和综合利用原则</w:t>
                  </w:r>
                </w:p>
              </w:tc>
            </w:tr>
          </w:tbl>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_GB2312" w:hAnsi="仿宋_GB2312" w:eastAsia="仿宋_GB2312" w:cs="仿宋_GB2312"/>
                <w:b/>
                <w:bCs/>
                <w:color w:val="auto"/>
                <w:sz w:val="28"/>
                <w:szCs w:val="28"/>
                <w:lang w:eastAsia="zh-CN"/>
              </w:rPr>
            </w:pPr>
            <w:r>
              <w:rPr>
                <w:rFonts w:hint="eastAsia" w:ascii="仿宋_GB2312" w:hAnsi="仿宋_GB2312" w:eastAsia="仿宋_GB2312" w:cs="仿宋_GB2312"/>
                <w:b/>
                <w:color w:val="auto"/>
                <w:sz w:val="28"/>
                <w:szCs w:val="28"/>
                <w:lang w:val="en-US" w:eastAsia="zh-CN"/>
              </w:rPr>
              <w:t>表2-7环评批复落实情况</w:t>
            </w:r>
            <w:r>
              <w:rPr>
                <w:rFonts w:hint="eastAsia" w:ascii="仿宋_GB2312" w:hAnsi="仿宋_GB2312" w:eastAsia="仿宋_GB2312" w:cs="仿宋_GB2312"/>
                <w:b/>
                <w:color w:val="auto"/>
                <w:sz w:val="28"/>
                <w:szCs w:val="28"/>
              </w:rPr>
              <w:t>一览表</w:t>
            </w:r>
          </w:p>
          <w:tbl>
            <w:tblPr>
              <w:tblStyle w:val="1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68" w:type="dxa"/>
                <w:left w:w="68" w:type="dxa"/>
                <w:bottom w:w="68" w:type="dxa"/>
                <w:right w:w="68" w:type="dxa"/>
              </w:tblCellMar>
            </w:tblPr>
            <w:tblGrid>
              <w:gridCol w:w="1605"/>
              <w:gridCol w:w="5234"/>
              <w:gridCol w:w="2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8" w:type="dxa"/>
                  <w:left w:w="68" w:type="dxa"/>
                  <w:bottom w:w="68" w:type="dxa"/>
                  <w:right w:w="68" w:type="dxa"/>
                </w:tblCellMar>
              </w:tblPrEx>
              <w:trPr>
                <w:trHeight w:val="340" w:hRule="atLeast"/>
                <w:tblHeader/>
                <w:jc w:val="center"/>
              </w:trPr>
              <w:tc>
                <w:tcPr>
                  <w:tcW w:w="8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项目</w:t>
                  </w:r>
                </w:p>
              </w:tc>
              <w:tc>
                <w:tcPr>
                  <w:tcW w:w="28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仿宋_GB2312" w:hAnsi="仿宋_GB2312" w:eastAsia="仿宋_GB2312" w:cs="仿宋_GB2312"/>
                      <w:b/>
                      <w:bCs/>
                      <w:color w:val="auto"/>
                      <w:sz w:val="21"/>
                      <w:szCs w:val="21"/>
                      <w:lang w:val="en-US" w:eastAsia="zh-CN"/>
                    </w:rPr>
                  </w:pPr>
                  <w:r>
                    <w:rPr>
                      <w:rFonts w:hint="eastAsia" w:ascii="仿宋_GB2312" w:hAnsi="仿宋_GB2312" w:eastAsia="仿宋_GB2312" w:cs="仿宋_GB2312"/>
                      <w:b/>
                      <w:bCs/>
                      <w:color w:val="auto"/>
                      <w:sz w:val="21"/>
                      <w:szCs w:val="21"/>
                    </w:rPr>
                    <w:t>环评</w:t>
                  </w:r>
                  <w:r>
                    <w:rPr>
                      <w:rFonts w:hint="eastAsia" w:ascii="仿宋_GB2312" w:hAnsi="仿宋_GB2312" w:eastAsia="仿宋_GB2312" w:cs="仿宋_GB2312"/>
                      <w:b/>
                      <w:bCs/>
                      <w:color w:val="auto"/>
                      <w:sz w:val="21"/>
                      <w:szCs w:val="21"/>
                      <w:lang w:val="en-US" w:eastAsia="zh-CN"/>
                    </w:rPr>
                    <w:t>批复要求</w:t>
                  </w:r>
                </w:p>
              </w:tc>
              <w:tc>
                <w:tcPr>
                  <w:tcW w:w="131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仿宋_GB2312" w:hAnsi="仿宋_GB2312" w:eastAsia="仿宋_GB2312" w:cs="仿宋_GB2312"/>
                      <w:b/>
                      <w:bCs/>
                      <w:color w:val="auto"/>
                      <w:sz w:val="21"/>
                      <w:szCs w:val="21"/>
                      <w:lang w:val="en-US" w:eastAsia="zh-CN"/>
                    </w:rPr>
                  </w:pPr>
                  <w:r>
                    <w:rPr>
                      <w:rFonts w:hint="eastAsia" w:ascii="仿宋_GB2312" w:hAnsi="仿宋_GB2312" w:eastAsia="仿宋_GB2312" w:cs="仿宋_GB2312"/>
                      <w:b/>
                      <w:bCs/>
                      <w:color w:val="auto"/>
                      <w:sz w:val="21"/>
                      <w:szCs w:val="21"/>
                      <w:lang w:val="en-US" w:eastAsia="zh-CN"/>
                    </w:rPr>
                    <w:t>实际建设情况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8" w:type="dxa"/>
                  <w:left w:w="68" w:type="dxa"/>
                  <w:bottom w:w="68" w:type="dxa"/>
                  <w:right w:w="68" w:type="dxa"/>
                </w:tblCellMar>
              </w:tblPrEx>
              <w:trPr>
                <w:trHeight w:val="425" w:hRule="atLeast"/>
                <w:jc w:val="center"/>
              </w:trPr>
              <w:tc>
                <w:tcPr>
                  <w:tcW w:w="8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10" w:lineRule="exact"/>
                    <w:ind w:left="0" w:leftChars="0" w:right="0" w:rightChars="0" w:firstLine="0" w:firstLineChars="0"/>
                    <w:jc w:val="center"/>
                    <w:textAlignment w:val="auto"/>
                    <w:outlineLvl w:val="9"/>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废气环保设施</w:t>
                  </w:r>
                </w:p>
              </w:tc>
              <w:tc>
                <w:tcPr>
                  <w:tcW w:w="2818" w:type="pct"/>
                  <w:noWrap w:val="0"/>
                  <w:vAlign w:val="center"/>
                </w:tcPr>
                <w:p>
                  <w:pPr>
                    <w:keepNext w:val="0"/>
                    <w:keepLines w:val="0"/>
                    <w:pageBreakBefore w:val="0"/>
                    <w:widowControl w:val="0"/>
                    <w:kinsoku/>
                    <w:wordWrap/>
                    <w:overflowPunct/>
                    <w:topLinePunct w:val="0"/>
                    <w:autoSpaceDE/>
                    <w:autoSpaceDN/>
                    <w:bidi w:val="0"/>
                    <w:spacing w:line="310" w:lineRule="exact"/>
                    <w:jc w:val="both"/>
                    <w:textAlignment w:val="auto"/>
                    <w:rPr>
                      <w:rFonts w:hint="default" w:ascii="仿宋_GB2312" w:hAnsi="仿宋_GB2312" w:eastAsia="仿宋_GB2312" w:cs="仿宋_GB2312"/>
                      <w:color w:val="auto"/>
                      <w:kern w:val="0"/>
                      <w:sz w:val="21"/>
                      <w:szCs w:val="21"/>
                      <w:lang w:val="en-US" w:eastAsia="zh-CN" w:bidi="ar"/>
                    </w:rPr>
                  </w:pPr>
                  <w:r>
                    <w:rPr>
                      <w:rFonts w:hint="default" w:ascii="仿宋_GB2312" w:hAnsi="仿宋_GB2312" w:eastAsia="仿宋_GB2312" w:cs="仿宋_GB2312"/>
                      <w:color w:val="auto"/>
                      <w:kern w:val="0"/>
                      <w:sz w:val="21"/>
                      <w:szCs w:val="21"/>
                      <w:lang w:val="en-US" w:eastAsia="zh-CN" w:bidi="ar"/>
                    </w:rPr>
                    <w:t>落实《报告表》提出的废气污染防治措施。项目须采取仓库封、运输过程全密闭、进出车辆冲洗地面清洗等措施加强粉尘管理;项目水泥罐、粉牒灰罐罐顶呼吸孔粉尘须经布袋除尘器处理后通过1根不低于15m高的排气筒排放;焊接烟尘需经过移动式焊接烟尘净化器净化后排放。以上废气收集装置集气效率及处理效率不得低于《报告表》中设定的要求项目粉尘排放执行《水泥工业大气污染物排放标准》(GB4915-2013)中相关标准，焊接烟尘执行《大气污染物综合排放标准》(GB16297-1996)中无组织排放监控浓度限值，根据《报告表》要求，项目需设50m环境防护距离。</w:t>
                  </w:r>
                </w:p>
              </w:tc>
              <w:tc>
                <w:tcPr>
                  <w:tcW w:w="1316" w:type="pct"/>
                  <w:noWrap w:val="0"/>
                  <w:vAlign w:val="center"/>
                </w:tcPr>
                <w:p>
                  <w:pPr>
                    <w:keepNext w:val="0"/>
                    <w:keepLines w:val="0"/>
                    <w:pageBreakBefore w:val="0"/>
                    <w:widowControl w:val="0"/>
                    <w:kinsoku/>
                    <w:wordWrap/>
                    <w:overflowPunct/>
                    <w:topLinePunct w:val="0"/>
                    <w:autoSpaceDE/>
                    <w:autoSpaceDN/>
                    <w:bidi w:val="0"/>
                    <w:spacing w:line="310" w:lineRule="exact"/>
                    <w:jc w:val="both"/>
                    <w:textAlignment w:val="auto"/>
                    <w:rPr>
                      <w:rFonts w:hint="default" w:ascii="仿宋_GB2312" w:hAnsi="仿宋_GB2312" w:eastAsia="仿宋_GB2312" w:cs="仿宋_GB2312"/>
                      <w:color w:val="auto"/>
                      <w:kern w:val="0"/>
                      <w:sz w:val="21"/>
                      <w:szCs w:val="21"/>
                      <w:lang w:val="en-US" w:eastAsia="zh-CN" w:bidi="ar"/>
                    </w:rPr>
                  </w:pPr>
                  <w:r>
                    <w:rPr>
                      <w:rFonts w:hint="eastAsia" w:ascii="仿宋_GB2312" w:hAnsi="仿宋_GB2312" w:eastAsia="仿宋_GB2312" w:cs="仿宋_GB2312"/>
                      <w:color w:val="auto"/>
                      <w:kern w:val="0"/>
                      <w:sz w:val="21"/>
                      <w:szCs w:val="21"/>
                      <w:lang w:val="en-US" w:eastAsia="zh-CN" w:bidi="ar"/>
                    </w:rPr>
                    <w:t>建设内容与环评一致，所排污染物经两日检测，符合相关标准要求。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8" w:type="dxa"/>
                  <w:left w:w="68" w:type="dxa"/>
                  <w:bottom w:w="68" w:type="dxa"/>
                  <w:right w:w="68" w:type="dxa"/>
                </w:tblCellMar>
              </w:tblPrEx>
              <w:trPr>
                <w:trHeight w:val="425" w:hRule="atLeast"/>
                <w:jc w:val="center"/>
              </w:trPr>
              <w:tc>
                <w:tcPr>
                  <w:tcW w:w="8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10" w:lineRule="exact"/>
                    <w:ind w:left="0" w:leftChars="0" w:right="0" w:rightChars="0" w:firstLine="0" w:firstLineChars="0"/>
                    <w:jc w:val="center"/>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废水环保设施</w:t>
                  </w:r>
                </w:p>
              </w:tc>
              <w:tc>
                <w:tcPr>
                  <w:tcW w:w="2818" w:type="pct"/>
                  <w:noWrap w:val="0"/>
                  <w:vAlign w:val="center"/>
                </w:tcPr>
                <w:p>
                  <w:pPr>
                    <w:keepNext w:val="0"/>
                    <w:keepLines w:val="0"/>
                    <w:pageBreakBefore w:val="0"/>
                    <w:widowControl w:val="0"/>
                    <w:kinsoku/>
                    <w:wordWrap/>
                    <w:overflowPunct/>
                    <w:topLinePunct w:val="0"/>
                    <w:autoSpaceDE/>
                    <w:autoSpaceDN/>
                    <w:bidi w:val="0"/>
                    <w:spacing w:line="310" w:lineRule="exact"/>
                    <w:jc w:val="both"/>
                    <w:textAlignment w:val="auto"/>
                    <w:rPr>
                      <w:rFonts w:hint="default" w:ascii="仿宋_GB2312" w:hAnsi="仿宋_GB2312" w:eastAsia="仿宋_GB2312" w:cs="仿宋_GB2312"/>
                      <w:color w:val="auto"/>
                      <w:kern w:val="0"/>
                      <w:sz w:val="21"/>
                      <w:szCs w:val="21"/>
                      <w:lang w:val="en-US" w:eastAsia="zh-CN" w:bidi="ar"/>
                    </w:rPr>
                  </w:pPr>
                  <w:r>
                    <w:rPr>
                      <w:rFonts w:hint="default" w:ascii="仿宋_GB2312" w:hAnsi="仿宋_GB2312" w:eastAsia="仿宋_GB2312" w:cs="仿宋_GB2312"/>
                      <w:color w:val="auto"/>
                      <w:kern w:val="0"/>
                      <w:sz w:val="21"/>
                      <w:szCs w:val="21"/>
                      <w:lang w:val="en-US" w:eastAsia="zh-CN" w:bidi="ar"/>
                    </w:rPr>
                    <w:t>落实《报告表》提出的废水污染防治措施。项目按“雨污分流”排水体制配套建设雨污管网。项目搅拌机清洗水、运输车辆清洗水、作业区地面冲洗水沉淀池沉淀后回用，不得外排;生活废水经化龚池处理后用作农田灌溉，不得直接排入周边地表水体。</w:t>
                  </w:r>
                </w:p>
              </w:tc>
              <w:tc>
                <w:tcPr>
                  <w:tcW w:w="1316" w:type="pct"/>
                  <w:noWrap w:val="0"/>
                  <w:vAlign w:val="center"/>
                </w:tcPr>
                <w:p>
                  <w:pPr>
                    <w:keepNext w:val="0"/>
                    <w:keepLines w:val="0"/>
                    <w:pageBreakBefore w:val="0"/>
                    <w:widowControl w:val="0"/>
                    <w:kinsoku/>
                    <w:wordWrap/>
                    <w:overflowPunct/>
                    <w:topLinePunct w:val="0"/>
                    <w:autoSpaceDE/>
                    <w:autoSpaceDN/>
                    <w:bidi w:val="0"/>
                    <w:spacing w:line="310" w:lineRule="exact"/>
                    <w:jc w:val="center"/>
                    <w:textAlignment w:val="auto"/>
                    <w:rPr>
                      <w:rFonts w:hint="default" w:ascii="仿宋_GB2312" w:hAnsi="仿宋_GB2312" w:eastAsia="仿宋_GB2312" w:cs="仿宋_GB2312"/>
                      <w:color w:val="auto"/>
                      <w:kern w:val="0"/>
                      <w:sz w:val="21"/>
                      <w:szCs w:val="21"/>
                      <w:lang w:val="en-US" w:eastAsia="zh-CN" w:bidi="ar"/>
                    </w:rPr>
                  </w:pPr>
                  <w:r>
                    <w:rPr>
                      <w:rFonts w:hint="eastAsia" w:ascii="仿宋_GB2312" w:hAnsi="仿宋_GB2312" w:eastAsia="仿宋_GB2312" w:cs="仿宋_GB2312"/>
                      <w:color w:val="auto"/>
                      <w:kern w:val="0"/>
                      <w:sz w:val="21"/>
                      <w:szCs w:val="21"/>
                      <w:lang w:val="en-US" w:eastAsia="zh-CN" w:bidi="ar"/>
                    </w:rPr>
                    <w:t>与批复要求一致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8" w:type="dxa"/>
                  <w:left w:w="68" w:type="dxa"/>
                  <w:bottom w:w="68" w:type="dxa"/>
                  <w:right w:w="68" w:type="dxa"/>
                </w:tblCellMar>
              </w:tblPrEx>
              <w:trPr>
                <w:trHeight w:val="425" w:hRule="atLeast"/>
                <w:jc w:val="center"/>
              </w:trPr>
              <w:tc>
                <w:tcPr>
                  <w:tcW w:w="8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10" w:lineRule="exact"/>
                    <w:ind w:left="0" w:leftChars="0" w:right="0" w:rightChars="0" w:firstLine="0" w:firstLineChars="0"/>
                    <w:jc w:val="center"/>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噪声环保设施</w:t>
                  </w:r>
                </w:p>
              </w:tc>
              <w:tc>
                <w:tcPr>
                  <w:tcW w:w="2818" w:type="pct"/>
                  <w:noWrap w:val="0"/>
                  <w:vAlign w:val="center"/>
                </w:tcPr>
                <w:p>
                  <w:pPr>
                    <w:keepNext w:val="0"/>
                    <w:keepLines w:val="0"/>
                    <w:pageBreakBefore w:val="0"/>
                    <w:widowControl w:val="0"/>
                    <w:kinsoku/>
                    <w:wordWrap/>
                    <w:overflowPunct/>
                    <w:topLinePunct w:val="0"/>
                    <w:autoSpaceDE/>
                    <w:autoSpaceDN/>
                    <w:bidi w:val="0"/>
                    <w:spacing w:line="310" w:lineRule="exact"/>
                    <w:jc w:val="both"/>
                    <w:textAlignment w:val="auto"/>
                    <w:rPr>
                      <w:rFonts w:hint="eastAsia" w:ascii="仿宋_GB2312" w:hAnsi="仿宋_GB2312" w:eastAsia="仿宋_GB2312" w:cs="仿宋_GB2312"/>
                      <w:color w:val="auto"/>
                      <w:kern w:val="0"/>
                      <w:sz w:val="21"/>
                      <w:szCs w:val="21"/>
                      <w:lang w:val="en-US" w:eastAsia="zh-CN" w:bidi="ar"/>
                    </w:rPr>
                  </w:pPr>
                  <w:r>
                    <w:rPr>
                      <w:rFonts w:hint="eastAsia" w:ascii="仿宋_GB2312" w:hAnsi="仿宋_GB2312" w:eastAsia="仿宋_GB2312" w:cs="仿宋_GB2312"/>
                      <w:color w:val="auto"/>
                      <w:kern w:val="0"/>
                      <w:sz w:val="21"/>
                      <w:szCs w:val="21"/>
                      <w:lang w:val="en-US" w:eastAsia="zh-CN" w:bidi="ar"/>
                    </w:rPr>
                    <w:t>落实《报告表》中噪声污染防治措施。采取相应的隔声，震等降噪措施，确保目厂界噪声达标排放。项目厂界噪声须满足《工业企业厂系环境噪声排放标准》(GB12348-2008)中2类区标准要求，施工期噪声须满足《建筑施工场界环境噪声排放标准》(GB12523-2011)排放限值要求。</w:t>
                  </w:r>
                </w:p>
              </w:tc>
              <w:tc>
                <w:tcPr>
                  <w:tcW w:w="1316" w:type="pct"/>
                  <w:noWrap w:val="0"/>
                  <w:vAlign w:val="center"/>
                </w:tcPr>
                <w:p>
                  <w:pPr>
                    <w:keepNext w:val="0"/>
                    <w:keepLines w:val="0"/>
                    <w:pageBreakBefore w:val="0"/>
                    <w:widowControl w:val="0"/>
                    <w:kinsoku/>
                    <w:wordWrap/>
                    <w:overflowPunct/>
                    <w:topLinePunct w:val="0"/>
                    <w:autoSpaceDE/>
                    <w:autoSpaceDN/>
                    <w:bidi w:val="0"/>
                    <w:spacing w:line="310" w:lineRule="exact"/>
                    <w:jc w:val="both"/>
                    <w:textAlignment w:val="auto"/>
                    <w:rPr>
                      <w:rFonts w:hint="default" w:ascii="仿宋_GB2312" w:hAnsi="仿宋_GB2312" w:eastAsia="仿宋_GB2312" w:cs="仿宋_GB2312"/>
                      <w:color w:val="auto"/>
                      <w:kern w:val="0"/>
                      <w:sz w:val="21"/>
                      <w:szCs w:val="21"/>
                      <w:lang w:val="en-US" w:eastAsia="zh-CN" w:bidi="ar"/>
                    </w:rPr>
                  </w:pPr>
                  <w:r>
                    <w:rPr>
                      <w:rFonts w:hint="eastAsia" w:ascii="仿宋_GB2312" w:hAnsi="仿宋_GB2312" w:eastAsia="仿宋_GB2312" w:cs="仿宋_GB2312"/>
                      <w:color w:val="auto"/>
                      <w:kern w:val="0"/>
                      <w:sz w:val="21"/>
                      <w:szCs w:val="21"/>
                      <w:lang w:val="en-US" w:eastAsia="zh-CN" w:bidi="ar"/>
                    </w:rPr>
                    <w:t>项目设备采取消声、隔音、减震等噪声防治措施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8" w:type="dxa"/>
                  <w:left w:w="68" w:type="dxa"/>
                  <w:bottom w:w="68" w:type="dxa"/>
                  <w:right w:w="68" w:type="dxa"/>
                </w:tblCellMar>
              </w:tblPrEx>
              <w:trPr>
                <w:trHeight w:val="425" w:hRule="atLeast"/>
                <w:jc w:val="center"/>
              </w:trPr>
              <w:tc>
                <w:tcPr>
                  <w:tcW w:w="8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10" w:lineRule="exact"/>
                    <w:ind w:left="0" w:leftChars="0" w:right="0" w:rightChars="0" w:firstLine="0" w:firstLineChars="0"/>
                    <w:jc w:val="center"/>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固废环保设施</w:t>
                  </w:r>
                </w:p>
              </w:tc>
              <w:tc>
                <w:tcPr>
                  <w:tcW w:w="2818" w:type="pct"/>
                  <w:noWrap w:val="0"/>
                  <w:vAlign w:val="center"/>
                </w:tcPr>
                <w:p>
                  <w:pPr>
                    <w:keepNext w:val="0"/>
                    <w:keepLines w:val="0"/>
                    <w:pageBreakBefore w:val="0"/>
                    <w:widowControl w:val="0"/>
                    <w:kinsoku/>
                    <w:wordWrap/>
                    <w:overflowPunct/>
                    <w:topLinePunct w:val="0"/>
                    <w:autoSpaceDE/>
                    <w:autoSpaceDN/>
                    <w:bidi w:val="0"/>
                    <w:spacing w:line="310" w:lineRule="exact"/>
                    <w:jc w:val="both"/>
                    <w:textAlignment w:val="auto"/>
                    <w:rPr>
                      <w:rFonts w:hint="eastAsia" w:ascii="仿宋_GB2312" w:hAnsi="仿宋_GB2312" w:eastAsia="仿宋_GB2312" w:cs="仿宋_GB2312"/>
                      <w:color w:val="auto"/>
                      <w:kern w:val="0"/>
                      <w:sz w:val="21"/>
                      <w:szCs w:val="21"/>
                      <w:lang w:val="en-US" w:eastAsia="zh-CN" w:bidi="ar"/>
                    </w:rPr>
                  </w:pPr>
                  <w:r>
                    <w:rPr>
                      <w:rFonts w:hint="eastAsia" w:ascii="仿宋_GB2312" w:hAnsi="仿宋_GB2312" w:eastAsia="仿宋_GB2312" w:cs="仿宋_GB2312"/>
                      <w:color w:val="auto"/>
                      <w:kern w:val="0"/>
                      <w:sz w:val="21"/>
                      <w:szCs w:val="21"/>
                      <w:lang w:val="en-US" w:eastAsia="zh-CN" w:bidi="ar"/>
                    </w:rPr>
                    <w:t>落实《报告表》中固废污染防治措施。按环境卫生管理要求和练合利用的原则处理处置项目产生的各类固体废物，项目布袋除尘器收集的粉尘回用做原料;废包装袋收集后交由物资部门回收利用;生活垃圾交由环卫部门统一清运。</w:t>
                  </w:r>
                </w:p>
              </w:tc>
              <w:tc>
                <w:tcPr>
                  <w:tcW w:w="1316" w:type="pct"/>
                  <w:noWrap w:val="0"/>
                  <w:vAlign w:val="center"/>
                </w:tcPr>
                <w:p>
                  <w:pPr>
                    <w:keepNext w:val="0"/>
                    <w:keepLines w:val="0"/>
                    <w:pageBreakBefore w:val="0"/>
                    <w:widowControl w:val="0"/>
                    <w:kinsoku/>
                    <w:wordWrap/>
                    <w:overflowPunct/>
                    <w:topLinePunct w:val="0"/>
                    <w:autoSpaceDE/>
                    <w:autoSpaceDN/>
                    <w:bidi w:val="0"/>
                    <w:spacing w:line="310" w:lineRule="exact"/>
                    <w:jc w:val="both"/>
                    <w:textAlignment w:val="auto"/>
                    <w:rPr>
                      <w:rFonts w:hint="default" w:ascii="仿宋_GB2312" w:hAnsi="仿宋_GB2312" w:eastAsia="仿宋_GB2312" w:cs="仿宋_GB2312"/>
                      <w:color w:val="auto"/>
                      <w:kern w:val="0"/>
                      <w:sz w:val="21"/>
                      <w:szCs w:val="21"/>
                      <w:lang w:val="en-US" w:eastAsia="zh-CN" w:bidi="ar"/>
                    </w:rPr>
                  </w:pPr>
                  <w:r>
                    <w:rPr>
                      <w:rFonts w:hint="eastAsia" w:ascii="仿宋_GB2312" w:hAnsi="仿宋_GB2312" w:eastAsia="仿宋_GB2312" w:cs="仿宋_GB2312"/>
                      <w:color w:val="auto"/>
                      <w:kern w:val="0"/>
                      <w:sz w:val="21"/>
                      <w:szCs w:val="21"/>
                      <w:lang w:val="en-US" w:eastAsia="zh-CN" w:bidi="ar"/>
                    </w:rPr>
                    <w:t>布袋除尘器收集的粉尘回用做原料;废包装袋收集后交由物资部门回收利用;生活垃圾交由环卫部门统一清运。</w:t>
                  </w:r>
                </w:p>
              </w:tc>
            </w:tr>
          </w:tbl>
          <w:p>
            <w:pPr>
              <w:pStyle w:val="5"/>
              <w:keepNext/>
              <w:keepLines/>
              <w:pageBreakBefore w:val="0"/>
              <w:widowControl w:val="0"/>
              <w:kinsoku/>
              <w:wordWrap/>
              <w:overflowPunct/>
              <w:topLinePunct w:val="0"/>
              <w:autoSpaceDE/>
              <w:autoSpaceDN/>
              <w:bidi w:val="0"/>
              <w:adjustRightInd w:val="0"/>
              <w:snapToGrid w:val="0"/>
              <w:spacing w:line="360" w:lineRule="auto"/>
              <w:textAlignment w:val="baseline"/>
              <w:rPr>
                <w:rFonts w:hint="eastAsia" w:ascii="仿宋_GB2312" w:hAnsi="仿宋_GB2312" w:eastAsia="仿宋_GB2312" w:cs="仿宋_GB2312"/>
                <w:b/>
                <w:color w:val="auto"/>
                <w:sz w:val="28"/>
                <w:szCs w:val="28"/>
                <w:lang w:eastAsia="zh-CN"/>
              </w:rPr>
            </w:pPr>
            <w:bookmarkStart w:id="0" w:name="_Toc967"/>
            <w:bookmarkStart w:id="1" w:name="_Toc14949"/>
            <w:r>
              <w:rPr>
                <w:rFonts w:hint="eastAsia" w:ascii="仿宋_GB2312" w:hAnsi="仿宋_GB2312" w:eastAsia="仿宋_GB2312" w:cs="仿宋_GB2312"/>
                <w:b/>
                <w:color w:val="auto"/>
                <w:sz w:val="28"/>
                <w:szCs w:val="28"/>
                <w:lang w:eastAsia="zh-CN"/>
              </w:rPr>
              <w:t>项目变动情况</w:t>
            </w:r>
          </w:p>
          <w:p>
            <w:pPr>
              <w:keepNext w:val="0"/>
              <w:keepLines w:val="0"/>
              <w:pageBreakBefore w:val="0"/>
              <w:widowControl w:val="0"/>
              <w:kinsoku/>
              <w:wordWrap/>
              <w:overflowPunct/>
              <w:topLinePunct w:val="0"/>
              <w:autoSpaceDE/>
              <w:autoSpaceDN/>
              <w:bidi w:val="0"/>
              <w:adjustRightInd w:val="0"/>
              <w:snapToGrid w:val="0"/>
              <w:spacing w:line="480" w:lineRule="exact"/>
              <w:ind w:firstLine="548" w:firstLineChars="200"/>
              <w:textAlignment w:val="auto"/>
              <w:outlineLvl w:val="9"/>
              <w:rPr>
                <w:rFonts w:hint="default" w:ascii="仿宋_GB2312" w:hAnsi="仿宋_GB2312" w:eastAsia="仿宋_GB2312" w:cs="仿宋_GB2312"/>
                <w:color w:val="auto"/>
                <w:spacing w:val="-3"/>
                <w:sz w:val="28"/>
                <w:szCs w:val="28"/>
                <w:lang w:val="en-US" w:eastAsia="zh-CN"/>
              </w:rPr>
            </w:pPr>
            <w:r>
              <w:rPr>
                <w:rFonts w:hint="eastAsia" w:ascii="仿宋_GB2312" w:hAnsi="仿宋_GB2312" w:eastAsia="仿宋_GB2312" w:cs="仿宋_GB2312"/>
                <w:color w:val="auto"/>
                <w:spacing w:val="-3"/>
                <w:sz w:val="28"/>
                <w:szCs w:val="28"/>
                <w:lang w:val="en-US" w:eastAsia="zh-CN"/>
              </w:rPr>
              <w:t>根据明光市沪光建筑材料有限公司提供的资料及现场查验，本项目无重大变动情况。</w:t>
            </w:r>
          </w:p>
          <w:p>
            <w:pPr>
              <w:pStyle w:val="5"/>
              <w:keepNext/>
              <w:keepLines/>
              <w:pageBreakBefore w:val="0"/>
              <w:widowControl w:val="0"/>
              <w:kinsoku/>
              <w:wordWrap/>
              <w:overflowPunct/>
              <w:topLinePunct w:val="0"/>
              <w:autoSpaceDE/>
              <w:autoSpaceDN/>
              <w:bidi w:val="0"/>
              <w:adjustRightInd w:val="0"/>
              <w:snapToGrid w:val="0"/>
              <w:spacing w:line="360" w:lineRule="auto"/>
              <w:textAlignment w:val="baseline"/>
              <w:rPr>
                <w:rFonts w:hint="eastAsia" w:ascii="仿宋_GB2312" w:hAnsi="仿宋_GB2312" w:eastAsia="仿宋_GB2312" w:cs="仿宋_GB2312"/>
                <w:b/>
                <w:color w:val="auto"/>
                <w:sz w:val="28"/>
                <w:szCs w:val="28"/>
                <w:lang w:eastAsia="zh-CN"/>
              </w:rPr>
            </w:pPr>
            <w:r>
              <w:rPr>
                <w:rFonts w:hint="eastAsia" w:ascii="仿宋_GB2312" w:hAnsi="仿宋_GB2312" w:eastAsia="仿宋_GB2312" w:cs="仿宋_GB2312"/>
                <w:b/>
                <w:color w:val="auto"/>
                <w:sz w:val="28"/>
                <w:szCs w:val="28"/>
                <w:lang w:eastAsia="zh-CN"/>
              </w:rPr>
              <w:t>建设项目非重大变动结论</w:t>
            </w:r>
            <w:bookmarkEnd w:id="0"/>
            <w:bookmarkEnd w:id="1"/>
          </w:p>
          <w:p>
            <w:pPr>
              <w:keepNext w:val="0"/>
              <w:keepLines w:val="0"/>
              <w:pageBreakBefore w:val="0"/>
              <w:widowControl w:val="0"/>
              <w:kinsoku/>
              <w:wordWrap/>
              <w:overflowPunct/>
              <w:topLinePunct w:val="0"/>
              <w:autoSpaceDE/>
              <w:autoSpaceDN/>
              <w:bidi w:val="0"/>
              <w:adjustRightInd w:val="0"/>
              <w:snapToGrid w:val="0"/>
              <w:spacing w:line="480" w:lineRule="exact"/>
              <w:ind w:firstLine="548" w:firstLineChars="200"/>
              <w:textAlignment w:val="auto"/>
              <w:outlineLvl w:val="9"/>
              <w:rPr>
                <w:rFonts w:hint="eastAsia" w:ascii="仿宋_GB2312" w:hAnsi="仿宋_GB2312" w:eastAsia="仿宋_GB2312" w:cs="仿宋_GB2312"/>
                <w:color w:val="auto"/>
                <w:spacing w:val="-3"/>
                <w:sz w:val="28"/>
                <w:szCs w:val="28"/>
                <w:lang w:eastAsia="zh-CN"/>
              </w:rPr>
            </w:pPr>
            <w:r>
              <w:rPr>
                <w:rFonts w:hint="eastAsia" w:ascii="仿宋_GB2312" w:hAnsi="仿宋_GB2312" w:eastAsia="仿宋_GB2312" w:cs="仿宋_GB2312"/>
                <w:color w:val="auto"/>
                <w:spacing w:val="-3"/>
                <w:sz w:val="28"/>
                <w:szCs w:val="28"/>
                <w:lang w:eastAsia="zh-CN"/>
              </w:rPr>
              <w:t>参考滁州市环保局《关于进一步规范建设项目环境影响评价文件审批服务工作的通知》（滁环评函〔2017〕75号）</w:t>
            </w:r>
            <w:r>
              <w:rPr>
                <w:rFonts w:hint="eastAsia" w:ascii="仿宋_GB2312" w:hAnsi="仿宋_GB2312" w:eastAsia="仿宋_GB2312" w:cs="仿宋_GB2312"/>
                <w:color w:val="auto"/>
                <w:spacing w:val="-3"/>
                <w:sz w:val="28"/>
                <w:szCs w:val="28"/>
                <w:lang w:val="en-US" w:eastAsia="zh-CN"/>
              </w:rPr>
              <w:t>和</w:t>
            </w:r>
            <w:r>
              <w:rPr>
                <w:rFonts w:hint="eastAsia" w:ascii="仿宋_GB2312" w:hAnsi="仿宋_GB2312" w:eastAsia="仿宋_GB2312" w:cs="仿宋_GB2312"/>
                <w:color w:val="auto"/>
                <w:sz w:val="28"/>
                <w:szCs w:val="28"/>
                <w:lang w:val="en-US" w:eastAsia="zh-CN"/>
              </w:rPr>
              <w:t>《关于印发污染影响类建设项目重大变动清单的通知》（生态环境部办公厅文件，环办环评函〔2020〕688号）</w:t>
            </w:r>
            <w:r>
              <w:rPr>
                <w:rFonts w:hint="eastAsia" w:ascii="仿宋_GB2312" w:hAnsi="仿宋_GB2312" w:eastAsia="仿宋_GB2312" w:cs="仿宋_GB2312"/>
                <w:color w:val="auto"/>
                <w:spacing w:val="-3"/>
                <w:sz w:val="28"/>
                <w:szCs w:val="28"/>
                <w:lang w:eastAsia="zh-CN"/>
              </w:rPr>
              <w:t>的规定和要求，该公司新建项目建设内容调整不涉及以下方面的变化：</w:t>
            </w:r>
          </w:p>
          <w:p>
            <w:pPr>
              <w:keepNext w:val="0"/>
              <w:keepLines w:val="0"/>
              <w:pageBreakBefore w:val="0"/>
              <w:widowControl w:val="0"/>
              <w:kinsoku/>
              <w:wordWrap/>
              <w:overflowPunct/>
              <w:topLinePunct w:val="0"/>
              <w:autoSpaceDE/>
              <w:autoSpaceDN/>
              <w:bidi w:val="0"/>
              <w:adjustRightInd w:val="0"/>
              <w:snapToGrid w:val="0"/>
              <w:spacing w:line="480" w:lineRule="exact"/>
              <w:ind w:firstLine="548" w:firstLineChars="200"/>
              <w:textAlignment w:val="auto"/>
              <w:outlineLvl w:val="9"/>
              <w:rPr>
                <w:rFonts w:hint="eastAsia" w:ascii="仿宋_GB2312" w:hAnsi="仿宋_GB2312" w:eastAsia="仿宋_GB2312" w:cs="仿宋_GB2312"/>
                <w:color w:val="auto"/>
                <w:spacing w:val="-3"/>
                <w:sz w:val="28"/>
                <w:szCs w:val="28"/>
                <w:lang w:eastAsia="zh-CN"/>
              </w:rPr>
            </w:pPr>
            <w:r>
              <w:rPr>
                <w:rFonts w:hint="eastAsia" w:ascii="仿宋_GB2312" w:hAnsi="仿宋_GB2312" w:eastAsia="仿宋_GB2312" w:cs="仿宋_GB2312"/>
                <w:color w:val="auto"/>
                <w:spacing w:val="-3"/>
                <w:sz w:val="28"/>
                <w:szCs w:val="28"/>
                <w:lang w:eastAsia="zh-CN"/>
              </w:rPr>
              <w:t>（1）项目的性质，产品品种未发生变化；</w:t>
            </w:r>
          </w:p>
          <w:p>
            <w:pPr>
              <w:keepNext w:val="0"/>
              <w:keepLines w:val="0"/>
              <w:pageBreakBefore w:val="0"/>
              <w:widowControl w:val="0"/>
              <w:kinsoku/>
              <w:wordWrap/>
              <w:overflowPunct/>
              <w:topLinePunct w:val="0"/>
              <w:autoSpaceDE/>
              <w:autoSpaceDN/>
              <w:bidi w:val="0"/>
              <w:adjustRightInd w:val="0"/>
              <w:snapToGrid w:val="0"/>
              <w:spacing w:line="480" w:lineRule="exact"/>
              <w:ind w:firstLine="548" w:firstLineChars="200"/>
              <w:textAlignment w:val="auto"/>
              <w:outlineLvl w:val="9"/>
              <w:rPr>
                <w:rFonts w:hint="eastAsia" w:ascii="仿宋_GB2312" w:hAnsi="仿宋_GB2312" w:eastAsia="仿宋_GB2312" w:cs="仿宋_GB2312"/>
                <w:color w:val="auto"/>
                <w:spacing w:val="-3"/>
                <w:sz w:val="28"/>
                <w:szCs w:val="28"/>
                <w:lang w:eastAsia="zh-CN"/>
              </w:rPr>
            </w:pPr>
            <w:r>
              <w:rPr>
                <w:rFonts w:hint="eastAsia" w:ascii="仿宋_GB2312" w:hAnsi="仿宋_GB2312" w:eastAsia="仿宋_GB2312" w:cs="仿宋_GB2312"/>
                <w:color w:val="auto"/>
                <w:spacing w:val="-3"/>
                <w:sz w:val="28"/>
                <w:szCs w:val="28"/>
                <w:lang w:eastAsia="zh-CN"/>
              </w:rPr>
              <w:t>（2）项目的规模，生产规模不增加；</w:t>
            </w:r>
          </w:p>
          <w:p>
            <w:pPr>
              <w:keepNext w:val="0"/>
              <w:keepLines w:val="0"/>
              <w:pageBreakBefore w:val="0"/>
              <w:widowControl w:val="0"/>
              <w:kinsoku/>
              <w:wordWrap/>
              <w:overflowPunct/>
              <w:topLinePunct w:val="0"/>
              <w:autoSpaceDE/>
              <w:autoSpaceDN/>
              <w:bidi w:val="0"/>
              <w:adjustRightInd w:val="0"/>
              <w:snapToGrid w:val="0"/>
              <w:spacing w:line="480" w:lineRule="exact"/>
              <w:ind w:firstLine="548" w:firstLineChars="200"/>
              <w:textAlignment w:val="auto"/>
              <w:outlineLvl w:val="9"/>
              <w:rPr>
                <w:rFonts w:hint="eastAsia" w:ascii="仿宋_GB2312" w:hAnsi="仿宋_GB2312" w:eastAsia="仿宋_GB2312" w:cs="仿宋_GB2312"/>
                <w:color w:val="auto"/>
                <w:spacing w:val="-3"/>
                <w:sz w:val="28"/>
                <w:szCs w:val="28"/>
                <w:lang w:eastAsia="zh-CN"/>
              </w:rPr>
            </w:pPr>
            <w:r>
              <w:rPr>
                <w:rFonts w:hint="eastAsia" w:ascii="仿宋_GB2312" w:hAnsi="仿宋_GB2312" w:eastAsia="仿宋_GB2312" w:cs="仿宋_GB2312"/>
                <w:color w:val="auto"/>
                <w:spacing w:val="-3"/>
                <w:sz w:val="28"/>
                <w:szCs w:val="28"/>
                <w:lang w:eastAsia="zh-CN"/>
              </w:rPr>
              <w:t>（3）项目的建设地点未变动；</w:t>
            </w:r>
          </w:p>
          <w:p>
            <w:pPr>
              <w:keepNext w:val="0"/>
              <w:keepLines w:val="0"/>
              <w:pageBreakBefore w:val="0"/>
              <w:widowControl w:val="0"/>
              <w:kinsoku/>
              <w:wordWrap/>
              <w:overflowPunct/>
              <w:topLinePunct w:val="0"/>
              <w:autoSpaceDE/>
              <w:autoSpaceDN/>
              <w:bidi w:val="0"/>
              <w:adjustRightInd w:val="0"/>
              <w:snapToGrid w:val="0"/>
              <w:spacing w:line="480" w:lineRule="exact"/>
              <w:ind w:firstLine="548" w:firstLineChars="200"/>
              <w:textAlignment w:val="auto"/>
              <w:outlineLvl w:val="9"/>
              <w:rPr>
                <w:rFonts w:hint="eastAsia" w:ascii="仿宋_GB2312" w:hAnsi="仿宋_GB2312" w:eastAsia="仿宋_GB2312" w:cs="仿宋_GB2312"/>
                <w:color w:val="auto"/>
                <w:spacing w:val="-3"/>
                <w:sz w:val="28"/>
                <w:szCs w:val="28"/>
                <w:lang w:eastAsia="zh-CN"/>
              </w:rPr>
            </w:pPr>
            <w:r>
              <w:rPr>
                <w:rFonts w:hint="eastAsia" w:ascii="仿宋_GB2312" w:hAnsi="仿宋_GB2312" w:eastAsia="仿宋_GB2312" w:cs="仿宋_GB2312"/>
                <w:color w:val="auto"/>
                <w:spacing w:val="-3"/>
                <w:sz w:val="28"/>
                <w:szCs w:val="28"/>
                <w:lang w:eastAsia="zh-CN"/>
              </w:rPr>
              <w:t>（4）项目的生产工艺未变动；</w:t>
            </w:r>
          </w:p>
          <w:p>
            <w:pPr>
              <w:keepNext w:val="0"/>
              <w:keepLines w:val="0"/>
              <w:pageBreakBefore w:val="0"/>
              <w:widowControl w:val="0"/>
              <w:kinsoku/>
              <w:wordWrap/>
              <w:overflowPunct/>
              <w:topLinePunct w:val="0"/>
              <w:autoSpaceDE/>
              <w:autoSpaceDN/>
              <w:bidi w:val="0"/>
              <w:adjustRightInd w:val="0"/>
              <w:snapToGrid w:val="0"/>
              <w:spacing w:line="480" w:lineRule="exact"/>
              <w:ind w:firstLine="548" w:firstLineChars="200"/>
              <w:textAlignment w:val="auto"/>
              <w:outlineLvl w:val="9"/>
              <w:rPr>
                <w:rFonts w:hint="eastAsia" w:ascii="仿宋_GB2312" w:hAnsi="仿宋_GB2312" w:eastAsia="仿宋_GB2312" w:cs="仿宋_GB2312"/>
                <w:color w:val="auto"/>
                <w:spacing w:val="-3"/>
                <w:sz w:val="28"/>
                <w:szCs w:val="28"/>
                <w:lang w:eastAsia="zh-CN"/>
              </w:rPr>
            </w:pPr>
            <w:r>
              <w:rPr>
                <w:rFonts w:hint="eastAsia" w:ascii="仿宋_GB2312" w:hAnsi="仿宋_GB2312" w:eastAsia="仿宋_GB2312" w:cs="仿宋_GB2312"/>
                <w:color w:val="auto"/>
                <w:spacing w:val="-3"/>
                <w:sz w:val="28"/>
                <w:szCs w:val="28"/>
                <w:lang w:eastAsia="zh-CN"/>
              </w:rPr>
              <w:t>（5）项目的环保措施未产生变更，未产生新的污染物。</w:t>
            </w:r>
          </w:p>
          <w:p>
            <w:pPr>
              <w:keepNext w:val="0"/>
              <w:keepLines w:val="0"/>
              <w:pageBreakBefore w:val="0"/>
              <w:widowControl w:val="0"/>
              <w:kinsoku/>
              <w:wordWrap/>
              <w:overflowPunct/>
              <w:topLinePunct w:val="0"/>
              <w:autoSpaceDE/>
              <w:autoSpaceDN/>
              <w:bidi w:val="0"/>
              <w:adjustRightInd w:val="0"/>
              <w:snapToGrid w:val="0"/>
              <w:spacing w:line="480" w:lineRule="exact"/>
              <w:ind w:firstLine="548" w:firstLineChars="200"/>
              <w:textAlignment w:val="auto"/>
              <w:outlineLvl w:val="9"/>
              <w:rPr>
                <w:rFonts w:hint="eastAsia" w:ascii="仿宋_GB2312" w:hAnsi="仿宋_GB2312" w:eastAsia="仿宋_GB2312" w:cs="仿宋_GB2312"/>
                <w:color w:val="auto"/>
                <w:spacing w:val="-3"/>
                <w:sz w:val="28"/>
                <w:szCs w:val="28"/>
                <w:lang w:val="en-US" w:eastAsia="zh-CN"/>
              </w:rPr>
            </w:pPr>
            <w:r>
              <w:rPr>
                <w:rFonts w:hint="eastAsia" w:ascii="仿宋_GB2312" w:hAnsi="仿宋_GB2312" w:eastAsia="仿宋_GB2312" w:cs="仿宋_GB2312"/>
                <w:color w:val="auto"/>
                <w:spacing w:val="-3"/>
                <w:sz w:val="28"/>
                <w:szCs w:val="28"/>
                <w:lang w:eastAsia="zh-CN"/>
              </w:rPr>
              <w:t>本项目无重大变动。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770" w:hRule="atLeast"/>
          <w:jc w:val="center"/>
        </w:trPr>
        <w:tc>
          <w:tcPr>
            <w:tcW w:w="8522" w:type="dxa"/>
            <w:tcBorders>
              <w:top w:val="single" w:color="000000" w:sz="8" w:space="0"/>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主要工艺流程及产污环节</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湿拌砂浆生产工艺</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outlineLvl w:val="9"/>
              <w:rPr>
                <w:rFonts w:hint="eastAsia" w:ascii="仿宋_GB2312" w:hAnsi="仿宋_GB2312" w:eastAsia="仿宋_GB2312" w:cs="仿宋_GB2312"/>
                <w:b/>
                <w:bCs/>
                <w:color w:val="auto"/>
                <w:spacing w:val="-3"/>
                <w:sz w:val="28"/>
                <w:szCs w:val="28"/>
                <w:lang w:eastAsia="zh-CN"/>
              </w:rPr>
            </w:pPr>
            <w:r>
              <w:drawing>
                <wp:inline distT="0" distB="0" distL="114300" distR="114300">
                  <wp:extent cx="5619750" cy="2286000"/>
                  <wp:effectExtent l="0" t="0" r="0" b="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9"/>
                          <a:stretch>
                            <a:fillRect/>
                          </a:stretch>
                        </pic:blipFill>
                        <pic:spPr>
                          <a:xfrm>
                            <a:off x="0" y="0"/>
                            <a:ext cx="5619750" cy="22860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48" w:firstLineChars="200"/>
              <w:jc w:val="left"/>
              <w:textAlignment w:val="auto"/>
              <w:outlineLvl w:val="9"/>
              <w:rPr>
                <w:rFonts w:hint="eastAsia" w:ascii="仿宋_GB2312" w:hAnsi="仿宋_GB2312" w:eastAsia="仿宋_GB2312" w:cs="仿宋_GB2312"/>
                <w:b w:val="0"/>
                <w:bCs w:val="0"/>
                <w:color w:val="auto"/>
                <w:spacing w:val="-3"/>
                <w:sz w:val="28"/>
                <w:szCs w:val="28"/>
                <w:lang w:val="en-US" w:eastAsia="zh-CN"/>
              </w:rPr>
            </w:pPr>
            <w:r>
              <w:rPr>
                <w:rFonts w:hint="eastAsia" w:ascii="仿宋_GB2312" w:hAnsi="仿宋_GB2312" w:eastAsia="仿宋_GB2312" w:cs="仿宋_GB2312"/>
                <w:b w:val="0"/>
                <w:bCs w:val="0"/>
                <w:color w:val="auto"/>
                <w:spacing w:val="-3"/>
                <w:sz w:val="28"/>
                <w:szCs w:val="28"/>
                <w:lang w:val="en-US" w:eastAsia="zh-CN"/>
              </w:rPr>
              <w:t>项目工艺流程及排污节点说明：</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48" w:firstLineChars="200"/>
              <w:jc w:val="left"/>
              <w:textAlignment w:val="auto"/>
              <w:outlineLvl w:val="9"/>
              <w:rPr>
                <w:rFonts w:hint="eastAsia" w:ascii="仿宋_GB2312" w:hAnsi="仿宋_GB2312" w:eastAsia="仿宋_GB2312" w:cs="仿宋_GB2312"/>
                <w:b w:val="0"/>
                <w:bCs w:val="0"/>
                <w:color w:val="auto"/>
                <w:spacing w:val="-3"/>
                <w:sz w:val="28"/>
                <w:szCs w:val="28"/>
                <w:lang w:val="en-US" w:eastAsia="zh-CN"/>
              </w:rPr>
            </w:pPr>
            <w:r>
              <w:rPr>
                <w:rFonts w:hint="eastAsia" w:ascii="仿宋_GB2312" w:hAnsi="仿宋_GB2312" w:eastAsia="仿宋_GB2312" w:cs="仿宋_GB2312"/>
                <w:b w:val="0"/>
                <w:bCs w:val="0"/>
                <w:color w:val="auto"/>
                <w:spacing w:val="-3"/>
                <w:sz w:val="28"/>
                <w:szCs w:val="28"/>
                <w:lang w:val="en-US" w:eastAsia="zh-CN"/>
              </w:rPr>
              <w:t>①原料储存</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48" w:firstLineChars="200"/>
              <w:jc w:val="left"/>
              <w:textAlignment w:val="auto"/>
              <w:outlineLvl w:val="9"/>
              <w:rPr>
                <w:rFonts w:hint="eastAsia" w:ascii="仿宋_GB2312" w:hAnsi="仿宋_GB2312" w:eastAsia="仿宋_GB2312" w:cs="仿宋_GB2312"/>
                <w:b w:val="0"/>
                <w:bCs w:val="0"/>
                <w:color w:val="auto"/>
                <w:spacing w:val="-3"/>
                <w:sz w:val="28"/>
                <w:szCs w:val="28"/>
                <w:lang w:val="en-US" w:eastAsia="zh-CN"/>
              </w:rPr>
            </w:pPr>
            <w:r>
              <w:rPr>
                <w:rFonts w:hint="eastAsia" w:ascii="仿宋_GB2312" w:hAnsi="仿宋_GB2312" w:eastAsia="仿宋_GB2312" w:cs="仿宋_GB2312"/>
                <w:b w:val="0"/>
                <w:bCs w:val="0"/>
                <w:color w:val="auto"/>
                <w:spacing w:val="-3"/>
                <w:sz w:val="28"/>
                <w:szCs w:val="28"/>
                <w:lang w:val="en-US" w:eastAsia="zh-CN"/>
              </w:rPr>
              <w:t>砂料储备：成品砂通过运输车辆运输至厂里，储存于厂区料仓内备用，湿拌砂浆使用砂料对粒径有要求，粒径≤3mm。在湿拌砂浆生产过程中，砂料运输带前段加装分离筛，合格粒径砂料进入搅拌机，筛上物可直接回用于商品混凝土生产；</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48" w:firstLineChars="200"/>
              <w:jc w:val="left"/>
              <w:textAlignment w:val="auto"/>
              <w:outlineLvl w:val="9"/>
              <w:rPr>
                <w:rFonts w:hint="eastAsia" w:ascii="仿宋_GB2312" w:hAnsi="仿宋_GB2312" w:eastAsia="仿宋_GB2312" w:cs="仿宋_GB2312"/>
                <w:b w:val="0"/>
                <w:bCs w:val="0"/>
                <w:color w:val="auto"/>
                <w:spacing w:val="-3"/>
                <w:sz w:val="28"/>
                <w:szCs w:val="28"/>
                <w:lang w:val="en-US" w:eastAsia="zh-CN"/>
              </w:rPr>
            </w:pPr>
            <w:r>
              <w:rPr>
                <w:rFonts w:hint="eastAsia" w:ascii="仿宋_GB2312" w:hAnsi="仿宋_GB2312" w:eastAsia="仿宋_GB2312" w:cs="仿宋_GB2312"/>
                <w:b w:val="0"/>
                <w:bCs w:val="0"/>
                <w:color w:val="auto"/>
                <w:spacing w:val="-3"/>
                <w:sz w:val="28"/>
                <w:szCs w:val="28"/>
                <w:lang w:val="en-US" w:eastAsia="zh-CN"/>
              </w:rPr>
              <w:t>水泥储备：设置2个水泥粉料储罐仓(200m3)，使用专用的散装水泥罐车将外购的成品水泥运输至厂里，通过泵将水泥抽入储料罐仓(200m3)，每个仓顶配有1个袋式除尘器，除尘后经25m高排气筒排放，除尘效率为99.8%。</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48" w:firstLineChars="200"/>
              <w:jc w:val="left"/>
              <w:textAlignment w:val="auto"/>
              <w:outlineLvl w:val="9"/>
              <w:rPr>
                <w:rFonts w:hint="eastAsia" w:ascii="仿宋_GB2312" w:hAnsi="仿宋_GB2312" w:eastAsia="仿宋_GB2312" w:cs="仿宋_GB2312"/>
                <w:b w:val="0"/>
                <w:bCs w:val="0"/>
                <w:color w:val="auto"/>
                <w:spacing w:val="-3"/>
                <w:sz w:val="28"/>
                <w:szCs w:val="28"/>
                <w:lang w:val="en-US" w:eastAsia="zh-CN"/>
              </w:rPr>
            </w:pPr>
            <w:r>
              <w:rPr>
                <w:rFonts w:hint="eastAsia" w:ascii="仿宋_GB2312" w:hAnsi="仿宋_GB2312" w:eastAsia="仿宋_GB2312" w:cs="仿宋_GB2312"/>
                <w:b w:val="0"/>
                <w:bCs w:val="0"/>
                <w:color w:val="auto"/>
                <w:spacing w:val="-3"/>
                <w:sz w:val="28"/>
                <w:szCs w:val="28"/>
                <w:lang w:val="en-US" w:eastAsia="zh-CN"/>
              </w:rPr>
              <w:t>粉煤灰储备：设置2个粉煤灰料储罐仓(200m3)，使用专用的罐车将外购的成品粉煤灰运输至厂里，通过泵将粉煤灰抽入储料罐仓，每个仓顶配有1个袋式除尘器，除尘后经25m高排气筒排放，除尘效率为99.8%。</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48" w:firstLineChars="200"/>
              <w:jc w:val="left"/>
              <w:textAlignment w:val="auto"/>
              <w:outlineLvl w:val="9"/>
              <w:rPr>
                <w:rFonts w:hint="eastAsia" w:ascii="仿宋_GB2312" w:hAnsi="仿宋_GB2312" w:eastAsia="仿宋_GB2312" w:cs="仿宋_GB2312"/>
                <w:b w:val="0"/>
                <w:bCs w:val="0"/>
                <w:color w:val="auto"/>
                <w:spacing w:val="-3"/>
                <w:sz w:val="28"/>
                <w:szCs w:val="28"/>
                <w:lang w:val="en-US" w:eastAsia="zh-CN"/>
              </w:rPr>
            </w:pPr>
            <w:r>
              <w:rPr>
                <w:rFonts w:hint="eastAsia" w:ascii="仿宋_GB2312" w:hAnsi="仿宋_GB2312" w:eastAsia="仿宋_GB2312" w:cs="仿宋_GB2312"/>
                <w:b w:val="0"/>
                <w:bCs w:val="0"/>
                <w:color w:val="auto"/>
                <w:spacing w:val="-3"/>
                <w:sz w:val="28"/>
                <w:szCs w:val="28"/>
                <w:lang w:val="en-US" w:eastAsia="zh-CN"/>
              </w:rPr>
              <w:t>外加剂贮备：设有1个外加剂储罐仓（50L），人工拆袋后通过泵抽入稳速剂储罐仓备用。</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48" w:firstLineChars="200"/>
              <w:jc w:val="left"/>
              <w:textAlignment w:val="auto"/>
              <w:outlineLvl w:val="9"/>
              <w:rPr>
                <w:rFonts w:hint="eastAsia" w:ascii="仿宋_GB2312" w:hAnsi="仿宋_GB2312" w:eastAsia="仿宋_GB2312" w:cs="仿宋_GB2312"/>
                <w:b w:val="0"/>
                <w:bCs w:val="0"/>
                <w:color w:val="auto"/>
                <w:spacing w:val="-3"/>
                <w:sz w:val="28"/>
                <w:szCs w:val="28"/>
                <w:lang w:val="en-US" w:eastAsia="zh-CN"/>
              </w:rPr>
            </w:pPr>
            <w:r>
              <w:rPr>
                <w:rFonts w:hint="eastAsia" w:ascii="仿宋_GB2312" w:hAnsi="仿宋_GB2312" w:eastAsia="仿宋_GB2312" w:cs="仿宋_GB2312"/>
                <w:b w:val="0"/>
                <w:bCs w:val="0"/>
                <w:color w:val="auto"/>
                <w:spacing w:val="-3"/>
                <w:sz w:val="28"/>
                <w:szCs w:val="28"/>
                <w:lang w:val="en-US" w:eastAsia="zh-CN"/>
              </w:rPr>
              <w:t>水：设有1个水池，通过泵将生产用水泵入水池中储存备用。</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48" w:firstLineChars="200"/>
              <w:jc w:val="left"/>
              <w:textAlignment w:val="auto"/>
              <w:outlineLvl w:val="9"/>
              <w:rPr>
                <w:rFonts w:hint="eastAsia" w:ascii="仿宋_GB2312" w:hAnsi="仿宋_GB2312" w:eastAsia="仿宋_GB2312" w:cs="仿宋_GB2312"/>
                <w:b w:val="0"/>
                <w:bCs w:val="0"/>
                <w:color w:val="auto"/>
                <w:spacing w:val="-3"/>
                <w:sz w:val="28"/>
                <w:szCs w:val="28"/>
                <w:lang w:val="en-US" w:eastAsia="zh-CN"/>
              </w:rPr>
            </w:pPr>
            <w:r>
              <w:rPr>
                <w:rFonts w:hint="eastAsia" w:ascii="仿宋_GB2312" w:hAnsi="仿宋_GB2312" w:eastAsia="仿宋_GB2312" w:cs="仿宋_GB2312"/>
                <w:b w:val="0"/>
                <w:bCs w:val="0"/>
                <w:color w:val="auto"/>
                <w:spacing w:val="-3"/>
                <w:sz w:val="28"/>
                <w:szCs w:val="28"/>
                <w:lang w:val="en-US" w:eastAsia="zh-CN"/>
              </w:rPr>
              <w:t>②原料计量：</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48" w:firstLineChars="200"/>
              <w:jc w:val="left"/>
              <w:textAlignment w:val="auto"/>
              <w:outlineLvl w:val="9"/>
              <w:rPr>
                <w:rFonts w:hint="eastAsia" w:ascii="仿宋_GB2312" w:hAnsi="仿宋_GB2312" w:eastAsia="仿宋_GB2312" w:cs="仿宋_GB2312"/>
                <w:b w:val="0"/>
                <w:bCs w:val="0"/>
                <w:color w:val="auto"/>
                <w:spacing w:val="-3"/>
                <w:sz w:val="28"/>
                <w:szCs w:val="28"/>
                <w:lang w:val="en-US" w:eastAsia="zh-CN"/>
              </w:rPr>
            </w:pPr>
            <w:r>
              <w:rPr>
                <w:rFonts w:hint="eastAsia" w:ascii="仿宋_GB2312" w:hAnsi="仿宋_GB2312" w:eastAsia="仿宋_GB2312" w:cs="仿宋_GB2312"/>
                <w:b w:val="0"/>
                <w:bCs w:val="0"/>
                <w:color w:val="auto"/>
                <w:spacing w:val="-3"/>
                <w:sz w:val="28"/>
                <w:szCs w:val="28"/>
                <w:lang w:val="en-US" w:eastAsia="zh-CN"/>
              </w:rPr>
              <w:t>不同厂家生产的水泥及粉煤灰其活性、强度、性能有所差异，因此每批产品均应经实验室配合比（小实验）决定每次配料的比例，本系统计量层设有原料称。砂通过装载机装料至料斗计量后经皮带廊进入搅拌罐，皮带廊密闭操作，并设有喷淋水除尘；不同厂家生产的水泥及粉煤灰其活性、强度、性能有所差异，因此每批产品均应经实验室配合比决定每次配料的比例，通过操作人员录入电脑，水泥、粉煤灰通过电子皮带秤计量后用螺旋输送至搅拌站的搅拌罐，水和添加剂计量后泵入搅拌罐，湿拌砂浆用水量145kg/m3。</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48" w:firstLineChars="200"/>
              <w:jc w:val="left"/>
              <w:textAlignment w:val="auto"/>
              <w:outlineLvl w:val="9"/>
              <w:rPr>
                <w:rFonts w:hint="eastAsia" w:ascii="仿宋_GB2312" w:hAnsi="仿宋_GB2312" w:eastAsia="仿宋_GB2312" w:cs="仿宋_GB2312"/>
                <w:b w:val="0"/>
                <w:bCs w:val="0"/>
                <w:color w:val="auto"/>
                <w:spacing w:val="-3"/>
                <w:sz w:val="28"/>
                <w:szCs w:val="28"/>
                <w:lang w:val="en-US" w:eastAsia="zh-CN"/>
              </w:rPr>
            </w:pPr>
            <w:r>
              <w:rPr>
                <w:rFonts w:hint="eastAsia" w:ascii="仿宋_GB2312" w:hAnsi="仿宋_GB2312" w:eastAsia="仿宋_GB2312" w:cs="仿宋_GB2312"/>
                <w:b w:val="0"/>
                <w:bCs w:val="0"/>
                <w:color w:val="auto"/>
                <w:spacing w:val="-3"/>
                <w:sz w:val="28"/>
                <w:szCs w:val="28"/>
                <w:lang w:val="en-US" w:eastAsia="zh-CN"/>
              </w:rPr>
              <w:t>③混合机混合工序</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48" w:firstLineChars="200"/>
              <w:jc w:val="left"/>
              <w:textAlignment w:val="auto"/>
              <w:outlineLvl w:val="9"/>
              <w:rPr>
                <w:rFonts w:hint="eastAsia" w:ascii="仿宋_GB2312" w:hAnsi="仿宋_GB2312" w:eastAsia="仿宋_GB2312" w:cs="仿宋_GB2312"/>
                <w:b w:val="0"/>
                <w:bCs w:val="0"/>
                <w:color w:val="auto"/>
                <w:spacing w:val="-3"/>
                <w:sz w:val="28"/>
                <w:szCs w:val="28"/>
                <w:lang w:val="en-US" w:eastAsia="zh-CN"/>
              </w:rPr>
            </w:pPr>
            <w:r>
              <w:rPr>
                <w:rFonts w:hint="eastAsia" w:ascii="仿宋_GB2312" w:hAnsi="仿宋_GB2312" w:eastAsia="仿宋_GB2312" w:cs="仿宋_GB2312"/>
                <w:b w:val="0"/>
                <w:bCs w:val="0"/>
                <w:color w:val="auto"/>
                <w:spacing w:val="-3"/>
                <w:sz w:val="28"/>
                <w:szCs w:val="28"/>
                <w:lang w:val="en-US" w:eastAsia="zh-CN"/>
              </w:rPr>
              <w:t>各种物料进入混合机混合时，小粒径颗粒物会飘散形成粉尘。混合机为连续生产，属于封闭状态，且本项目采用湿式拌浆工艺，粉尘产生量极小。</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48" w:firstLineChars="200"/>
              <w:jc w:val="left"/>
              <w:textAlignment w:val="auto"/>
              <w:outlineLvl w:val="9"/>
              <w:rPr>
                <w:rFonts w:hint="eastAsia" w:ascii="仿宋_GB2312" w:hAnsi="仿宋_GB2312" w:eastAsia="仿宋_GB2312" w:cs="仿宋_GB2312"/>
                <w:b w:val="0"/>
                <w:bCs w:val="0"/>
                <w:color w:val="auto"/>
                <w:spacing w:val="-3"/>
                <w:sz w:val="28"/>
                <w:szCs w:val="28"/>
                <w:lang w:val="en-US" w:eastAsia="zh-CN"/>
              </w:rPr>
            </w:pPr>
            <w:r>
              <w:rPr>
                <w:rFonts w:hint="eastAsia" w:ascii="仿宋_GB2312" w:hAnsi="仿宋_GB2312" w:eastAsia="仿宋_GB2312" w:cs="仿宋_GB2312"/>
                <w:b w:val="0"/>
                <w:bCs w:val="0"/>
                <w:color w:val="auto"/>
                <w:spacing w:val="-3"/>
                <w:sz w:val="28"/>
                <w:szCs w:val="28"/>
                <w:lang w:val="en-US" w:eastAsia="zh-CN"/>
              </w:rPr>
              <w:t>④成品外运</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48" w:firstLineChars="200"/>
              <w:jc w:val="left"/>
              <w:textAlignment w:val="auto"/>
              <w:outlineLvl w:val="9"/>
              <w:rPr>
                <w:rFonts w:hint="eastAsia" w:ascii="仿宋_GB2312" w:hAnsi="仿宋_GB2312" w:eastAsia="仿宋_GB2312" w:cs="仿宋_GB2312"/>
                <w:b w:val="0"/>
                <w:bCs w:val="0"/>
                <w:color w:val="auto"/>
                <w:spacing w:val="-3"/>
                <w:sz w:val="28"/>
                <w:szCs w:val="28"/>
                <w:lang w:val="en-US" w:eastAsia="zh-CN"/>
              </w:rPr>
            </w:pPr>
            <w:r>
              <w:rPr>
                <w:rFonts w:hint="eastAsia" w:ascii="仿宋_GB2312" w:hAnsi="仿宋_GB2312" w:eastAsia="仿宋_GB2312" w:cs="仿宋_GB2312"/>
                <w:b w:val="0"/>
                <w:bCs w:val="0"/>
                <w:color w:val="auto"/>
                <w:spacing w:val="-3"/>
                <w:sz w:val="28"/>
                <w:szCs w:val="28"/>
                <w:lang w:val="en-US" w:eastAsia="zh-CN"/>
              </w:rPr>
              <w:t>拌合好的砂浆直接泵入搅拌运输机外运至施工现场使用。</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商品混凝土生产工艺</w:t>
            </w:r>
          </w:p>
          <w:p>
            <w:pPr>
              <w:pStyle w:val="3"/>
              <w:numPr>
                <w:ilvl w:val="0"/>
                <w:numId w:val="0"/>
              </w:numPr>
              <w:ind w:left="1680" w:leftChars="0"/>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outlineLvl w:val="9"/>
              <w:rPr>
                <w:rFonts w:hint="eastAsia" w:ascii="仿宋_GB2312" w:hAnsi="仿宋_GB2312" w:eastAsia="仿宋_GB2312" w:cs="仿宋_GB2312"/>
                <w:b w:val="0"/>
                <w:bCs w:val="0"/>
                <w:color w:val="auto"/>
                <w:spacing w:val="-3"/>
                <w:sz w:val="28"/>
                <w:szCs w:val="28"/>
                <w:lang w:val="en-US" w:eastAsia="zh-CN"/>
              </w:rPr>
            </w:pPr>
            <w:r>
              <w:drawing>
                <wp:inline distT="0" distB="0" distL="114300" distR="114300">
                  <wp:extent cx="5638800" cy="2381250"/>
                  <wp:effectExtent l="0" t="0" r="0" b="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0"/>
                          <a:stretch>
                            <a:fillRect/>
                          </a:stretch>
                        </pic:blipFill>
                        <pic:spPr>
                          <a:xfrm>
                            <a:off x="0" y="0"/>
                            <a:ext cx="5638800" cy="23812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48" w:firstLineChars="200"/>
              <w:jc w:val="left"/>
              <w:textAlignment w:val="auto"/>
              <w:outlineLvl w:val="9"/>
              <w:rPr>
                <w:rFonts w:hint="eastAsia" w:ascii="仿宋_GB2312" w:hAnsi="仿宋_GB2312" w:eastAsia="仿宋_GB2312" w:cs="仿宋_GB2312"/>
                <w:b w:val="0"/>
                <w:bCs w:val="0"/>
                <w:color w:val="auto"/>
                <w:spacing w:val="-3"/>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48" w:firstLineChars="200"/>
              <w:jc w:val="left"/>
              <w:textAlignment w:val="auto"/>
              <w:outlineLvl w:val="9"/>
              <w:rPr>
                <w:rFonts w:hint="eastAsia" w:ascii="仿宋_GB2312" w:hAnsi="仿宋_GB2312" w:eastAsia="仿宋_GB2312" w:cs="仿宋_GB2312"/>
                <w:b w:val="0"/>
                <w:bCs w:val="0"/>
                <w:color w:val="auto"/>
                <w:spacing w:val="-3"/>
                <w:sz w:val="28"/>
                <w:szCs w:val="28"/>
                <w:lang w:val="en-US" w:eastAsia="zh-CN"/>
              </w:rPr>
            </w:pPr>
            <w:r>
              <w:rPr>
                <w:rFonts w:hint="eastAsia" w:ascii="仿宋_GB2312" w:hAnsi="仿宋_GB2312" w:eastAsia="仿宋_GB2312" w:cs="仿宋_GB2312"/>
                <w:b w:val="0"/>
                <w:bCs w:val="0"/>
                <w:color w:val="auto"/>
                <w:spacing w:val="-3"/>
                <w:sz w:val="28"/>
                <w:szCs w:val="28"/>
                <w:lang w:val="en-US" w:eastAsia="zh-CN"/>
              </w:rPr>
              <w:t>项目商品混凝土与湿拌砂浆共线生产；</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48" w:firstLineChars="200"/>
              <w:jc w:val="left"/>
              <w:textAlignment w:val="auto"/>
              <w:outlineLvl w:val="9"/>
              <w:rPr>
                <w:rFonts w:hint="eastAsia" w:ascii="仿宋_GB2312" w:hAnsi="仿宋_GB2312" w:eastAsia="仿宋_GB2312" w:cs="仿宋_GB2312"/>
                <w:b w:val="0"/>
                <w:bCs w:val="0"/>
                <w:color w:val="auto"/>
                <w:spacing w:val="-3"/>
                <w:sz w:val="28"/>
                <w:szCs w:val="28"/>
                <w:lang w:val="en-US" w:eastAsia="zh-CN"/>
              </w:rPr>
            </w:pPr>
            <w:r>
              <w:rPr>
                <w:rFonts w:hint="eastAsia" w:ascii="仿宋_GB2312" w:hAnsi="仿宋_GB2312" w:eastAsia="仿宋_GB2312" w:cs="仿宋_GB2312"/>
                <w:b w:val="0"/>
                <w:bCs w:val="0"/>
                <w:color w:val="auto"/>
                <w:spacing w:val="-3"/>
                <w:sz w:val="28"/>
                <w:szCs w:val="28"/>
                <w:lang w:val="en-US" w:eastAsia="zh-CN"/>
              </w:rPr>
              <w:t>①原料储存</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48" w:firstLineChars="200"/>
              <w:jc w:val="left"/>
              <w:textAlignment w:val="auto"/>
              <w:outlineLvl w:val="9"/>
              <w:rPr>
                <w:rFonts w:hint="eastAsia" w:ascii="仿宋_GB2312" w:hAnsi="仿宋_GB2312" w:eastAsia="仿宋_GB2312" w:cs="仿宋_GB2312"/>
                <w:b w:val="0"/>
                <w:bCs w:val="0"/>
                <w:color w:val="auto"/>
                <w:spacing w:val="-3"/>
                <w:sz w:val="28"/>
                <w:szCs w:val="28"/>
                <w:lang w:val="en-US" w:eastAsia="zh-CN"/>
              </w:rPr>
            </w:pPr>
            <w:r>
              <w:rPr>
                <w:rFonts w:hint="eastAsia" w:ascii="仿宋_GB2312" w:hAnsi="仿宋_GB2312" w:eastAsia="仿宋_GB2312" w:cs="仿宋_GB2312"/>
                <w:b w:val="0"/>
                <w:bCs w:val="0"/>
                <w:color w:val="auto"/>
                <w:spacing w:val="-3"/>
                <w:sz w:val="28"/>
                <w:szCs w:val="28"/>
                <w:lang w:val="en-US" w:eastAsia="zh-CN"/>
              </w:rPr>
              <w:t>砂料、石子储备：成品砂以及石子通过运输车辆运输至厂里，储存于厂区料仓内备用；水泥储备：设置2个水泥粉料储罐仓(200m</w:t>
            </w:r>
            <w:r>
              <w:rPr>
                <w:rFonts w:hint="eastAsia" w:ascii="Times New Roman" w:hAnsi="Times New Roman" w:eastAsia="仿宋_GB2312" w:cs="Times New Roman"/>
                <w:kern w:val="2"/>
                <w:sz w:val="28"/>
                <w:szCs w:val="28"/>
                <w:vertAlign w:val="superscript"/>
                <w:lang w:val="en-US" w:eastAsia="zh-CN" w:bidi="zh-CN"/>
              </w:rPr>
              <w:t>3</w:t>
            </w:r>
            <w:r>
              <w:rPr>
                <w:rFonts w:hint="eastAsia" w:ascii="Times New Roman" w:hAnsi="Times New Roman" w:eastAsia="仿宋_GB2312" w:cs="Times New Roman"/>
                <w:kern w:val="2"/>
                <w:sz w:val="28"/>
                <w:szCs w:val="28"/>
                <w:vertAlign w:val="baseline"/>
                <w:lang w:val="en-US" w:eastAsia="zh-CN" w:bidi="zh-CN"/>
              </w:rPr>
              <w:t>)</w:t>
            </w:r>
            <w:r>
              <w:rPr>
                <w:rFonts w:hint="eastAsia" w:ascii="仿宋_GB2312" w:hAnsi="仿宋_GB2312" w:eastAsia="仿宋_GB2312" w:cs="仿宋_GB2312"/>
                <w:b w:val="0"/>
                <w:bCs w:val="0"/>
                <w:color w:val="auto"/>
                <w:spacing w:val="-3"/>
                <w:sz w:val="28"/>
                <w:szCs w:val="28"/>
                <w:lang w:val="en-US" w:eastAsia="zh-CN"/>
              </w:rPr>
              <w:t>，使用专用的散装水泥罐车将外购的成</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48" w:firstLineChars="200"/>
              <w:jc w:val="left"/>
              <w:textAlignment w:val="auto"/>
              <w:outlineLvl w:val="9"/>
              <w:rPr>
                <w:rFonts w:hint="eastAsia" w:ascii="仿宋_GB2312" w:hAnsi="仿宋_GB2312" w:eastAsia="仿宋_GB2312" w:cs="仿宋_GB2312"/>
                <w:b w:val="0"/>
                <w:bCs w:val="0"/>
                <w:color w:val="auto"/>
                <w:spacing w:val="-3"/>
                <w:sz w:val="28"/>
                <w:szCs w:val="28"/>
                <w:lang w:val="en-US" w:eastAsia="zh-CN"/>
              </w:rPr>
            </w:pPr>
            <w:r>
              <w:rPr>
                <w:rFonts w:hint="eastAsia" w:ascii="仿宋_GB2312" w:hAnsi="仿宋_GB2312" w:eastAsia="仿宋_GB2312" w:cs="仿宋_GB2312"/>
                <w:b w:val="0"/>
                <w:bCs w:val="0"/>
                <w:color w:val="auto"/>
                <w:spacing w:val="-3"/>
                <w:sz w:val="28"/>
                <w:szCs w:val="28"/>
                <w:lang w:val="en-US" w:eastAsia="zh-CN"/>
              </w:rPr>
              <w:t>品水泥运输至厂里，通过泵将水泥抽入储料罐仓(200m</w:t>
            </w:r>
            <w:r>
              <w:rPr>
                <w:rFonts w:hint="eastAsia" w:ascii="Times New Roman" w:hAnsi="Times New Roman" w:eastAsia="仿宋_GB2312" w:cs="Times New Roman"/>
                <w:kern w:val="2"/>
                <w:sz w:val="28"/>
                <w:szCs w:val="28"/>
                <w:vertAlign w:val="superscript"/>
                <w:lang w:val="en-US" w:eastAsia="zh-CN" w:bidi="zh-CN"/>
              </w:rPr>
              <w:t>3</w:t>
            </w:r>
            <w:r>
              <w:rPr>
                <w:rFonts w:hint="eastAsia" w:ascii="仿宋_GB2312" w:hAnsi="仿宋_GB2312" w:eastAsia="仿宋_GB2312" w:cs="仿宋_GB2312"/>
                <w:b w:val="0"/>
                <w:bCs w:val="0"/>
                <w:color w:val="auto"/>
                <w:spacing w:val="-3"/>
                <w:sz w:val="28"/>
                <w:szCs w:val="28"/>
                <w:lang w:val="en-US" w:eastAsia="zh-CN"/>
              </w:rPr>
              <w:t>)，每个仓顶配有1个袋式除尘器，除尘后经25m排气筒排放，除尘效率为99.8%。</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48" w:firstLineChars="200"/>
              <w:jc w:val="left"/>
              <w:textAlignment w:val="auto"/>
              <w:outlineLvl w:val="9"/>
              <w:rPr>
                <w:rFonts w:hint="eastAsia" w:ascii="仿宋_GB2312" w:hAnsi="仿宋_GB2312" w:eastAsia="仿宋_GB2312" w:cs="仿宋_GB2312"/>
                <w:b w:val="0"/>
                <w:bCs w:val="0"/>
                <w:color w:val="auto"/>
                <w:spacing w:val="-3"/>
                <w:sz w:val="28"/>
                <w:szCs w:val="28"/>
                <w:lang w:val="en-US" w:eastAsia="zh-CN"/>
              </w:rPr>
            </w:pPr>
            <w:r>
              <w:rPr>
                <w:rFonts w:hint="eastAsia" w:ascii="仿宋_GB2312" w:hAnsi="仿宋_GB2312" w:eastAsia="仿宋_GB2312" w:cs="仿宋_GB2312"/>
                <w:b w:val="0"/>
                <w:bCs w:val="0"/>
                <w:color w:val="auto"/>
                <w:spacing w:val="-3"/>
                <w:sz w:val="28"/>
                <w:szCs w:val="28"/>
                <w:lang w:val="en-US" w:eastAsia="zh-CN"/>
              </w:rPr>
              <w:t>粉煤灰储备：设置2个粉煤灰料储罐仓(200m3)，使用专用的罐车将外购的成品粉煤</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48" w:firstLineChars="200"/>
              <w:jc w:val="left"/>
              <w:textAlignment w:val="auto"/>
              <w:outlineLvl w:val="9"/>
              <w:rPr>
                <w:rFonts w:hint="eastAsia" w:ascii="仿宋_GB2312" w:hAnsi="仿宋_GB2312" w:eastAsia="仿宋_GB2312" w:cs="仿宋_GB2312"/>
                <w:b w:val="0"/>
                <w:bCs w:val="0"/>
                <w:color w:val="auto"/>
                <w:spacing w:val="-3"/>
                <w:sz w:val="28"/>
                <w:szCs w:val="28"/>
                <w:lang w:val="en-US" w:eastAsia="zh-CN"/>
              </w:rPr>
            </w:pPr>
            <w:r>
              <w:rPr>
                <w:rFonts w:hint="eastAsia" w:ascii="仿宋_GB2312" w:hAnsi="仿宋_GB2312" w:eastAsia="仿宋_GB2312" w:cs="仿宋_GB2312"/>
                <w:b w:val="0"/>
                <w:bCs w:val="0"/>
                <w:color w:val="auto"/>
                <w:spacing w:val="-3"/>
                <w:sz w:val="28"/>
                <w:szCs w:val="28"/>
                <w:lang w:val="en-US" w:eastAsia="zh-CN"/>
              </w:rPr>
              <w:t>灰运输至厂里，通过泵将粉煤灰抽入储料罐仓，每个仓顶配有1个袋式除尘器，除尘后经25m排气筒排放，除尘效率为99.8%。</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48" w:firstLineChars="200"/>
              <w:jc w:val="left"/>
              <w:textAlignment w:val="auto"/>
              <w:outlineLvl w:val="9"/>
              <w:rPr>
                <w:rFonts w:hint="eastAsia" w:ascii="仿宋_GB2312" w:hAnsi="仿宋_GB2312" w:eastAsia="仿宋_GB2312" w:cs="仿宋_GB2312"/>
                <w:b w:val="0"/>
                <w:bCs w:val="0"/>
                <w:color w:val="auto"/>
                <w:spacing w:val="-3"/>
                <w:sz w:val="28"/>
                <w:szCs w:val="28"/>
                <w:lang w:val="en-US" w:eastAsia="zh-CN"/>
              </w:rPr>
            </w:pPr>
            <w:r>
              <w:rPr>
                <w:rFonts w:hint="eastAsia" w:ascii="仿宋_GB2312" w:hAnsi="仿宋_GB2312" w:eastAsia="仿宋_GB2312" w:cs="仿宋_GB2312"/>
                <w:b w:val="0"/>
                <w:bCs w:val="0"/>
                <w:color w:val="auto"/>
                <w:spacing w:val="-3"/>
                <w:sz w:val="28"/>
                <w:szCs w:val="28"/>
                <w:lang w:val="en-US" w:eastAsia="zh-CN"/>
              </w:rPr>
              <w:t>外加剂贮备：设有1个外加剂储罐仓（50L），人工拆袋后通过泵抽入储罐仓备用。</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48" w:firstLineChars="200"/>
              <w:jc w:val="left"/>
              <w:textAlignment w:val="auto"/>
              <w:outlineLvl w:val="9"/>
              <w:rPr>
                <w:rFonts w:hint="eastAsia" w:ascii="仿宋_GB2312" w:hAnsi="仿宋_GB2312" w:eastAsia="仿宋_GB2312" w:cs="仿宋_GB2312"/>
                <w:b w:val="0"/>
                <w:bCs w:val="0"/>
                <w:color w:val="auto"/>
                <w:spacing w:val="-3"/>
                <w:sz w:val="28"/>
                <w:szCs w:val="28"/>
                <w:lang w:val="en-US" w:eastAsia="zh-CN"/>
              </w:rPr>
            </w:pPr>
            <w:r>
              <w:rPr>
                <w:rFonts w:hint="eastAsia" w:ascii="仿宋_GB2312" w:hAnsi="仿宋_GB2312" w:eastAsia="仿宋_GB2312" w:cs="仿宋_GB2312"/>
                <w:b w:val="0"/>
                <w:bCs w:val="0"/>
                <w:color w:val="auto"/>
                <w:spacing w:val="-3"/>
                <w:sz w:val="28"/>
                <w:szCs w:val="28"/>
                <w:lang w:val="en-US" w:eastAsia="zh-CN"/>
              </w:rPr>
              <w:t>②原料计量：</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48" w:firstLineChars="200"/>
              <w:jc w:val="left"/>
              <w:textAlignment w:val="auto"/>
              <w:outlineLvl w:val="9"/>
              <w:rPr>
                <w:rFonts w:hint="eastAsia" w:ascii="仿宋_GB2312" w:hAnsi="仿宋_GB2312" w:eastAsia="仿宋_GB2312" w:cs="仿宋_GB2312"/>
                <w:b w:val="0"/>
                <w:bCs w:val="0"/>
                <w:color w:val="auto"/>
                <w:spacing w:val="-3"/>
                <w:sz w:val="28"/>
                <w:szCs w:val="28"/>
                <w:lang w:val="en-US" w:eastAsia="zh-CN"/>
              </w:rPr>
            </w:pPr>
            <w:r>
              <w:rPr>
                <w:rFonts w:hint="eastAsia" w:ascii="仿宋_GB2312" w:hAnsi="仿宋_GB2312" w:eastAsia="仿宋_GB2312" w:cs="仿宋_GB2312"/>
                <w:b w:val="0"/>
                <w:bCs w:val="0"/>
                <w:color w:val="auto"/>
                <w:spacing w:val="-3"/>
                <w:sz w:val="28"/>
                <w:szCs w:val="28"/>
                <w:lang w:val="en-US" w:eastAsia="zh-CN"/>
              </w:rPr>
              <w:t>不同厂家生产的水泥及粉煤灰其活性、强度、性能有所差异，因此每批商品混凝土均应经实验室配合比（小实验）决定每次配料的比例，本系统计量层设有原料称。砂和石子通过装载机装料至料斗计量后经皮带廊进入搅拌罐，皮带廊密闭操作，并设有喷淋水除尘；不同厂家生产的水泥及粉煤灰其活性、强度、性能有所差异，因此每批商品混凝土均应经实验室配合比决定每次配料的比例，通过操作人员录入电脑，水泥、粉煤灰通过电子皮带秤计量后用螺旋输送至搅拌站的搅拌罐，水和添加剂计量后泵入搅拌罐，商品混凝土用水量200kg/m3。</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48" w:firstLineChars="200"/>
              <w:jc w:val="left"/>
              <w:textAlignment w:val="auto"/>
              <w:outlineLvl w:val="9"/>
              <w:rPr>
                <w:rFonts w:hint="eastAsia" w:ascii="仿宋_GB2312" w:hAnsi="仿宋_GB2312" w:eastAsia="仿宋_GB2312" w:cs="仿宋_GB2312"/>
                <w:b w:val="0"/>
                <w:bCs w:val="0"/>
                <w:color w:val="auto"/>
                <w:spacing w:val="-3"/>
                <w:sz w:val="28"/>
                <w:szCs w:val="28"/>
                <w:lang w:val="en-US" w:eastAsia="zh-CN"/>
              </w:rPr>
            </w:pPr>
            <w:r>
              <w:rPr>
                <w:rFonts w:hint="eastAsia" w:ascii="仿宋_GB2312" w:hAnsi="仿宋_GB2312" w:eastAsia="仿宋_GB2312" w:cs="仿宋_GB2312"/>
                <w:b w:val="0"/>
                <w:bCs w:val="0"/>
                <w:color w:val="auto"/>
                <w:spacing w:val="-3"/>
                <w:sz w:val="28"/>
                <w:szCs w:val="28"/>
                <w:lang w:val="en-US" w:eastAsia="zh-CN"/>
              </w:rPr>
              <w:t>③混合机混合工序</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48" w:firstLineChars="200"/>
              <w:jc w:val="left"/>
              <w:textAlignment w:val="auto"/>
              <w:outlineLvl w:val="9"/>
              <w:rPr>
                <w:rFonts w:hint="eastAsia" w:ascii="仿宋_GB2312" w:hAnsi="仿宋_GB2312" w:eastAsia="仿宋_GB2312" w:cs="仿宋_GB2312"/>
                <w:b w:val="0"/>
                <w:bCs w:val="0"/>
                <w:color w:val="auto"/>
                <w:spacing w:val="-3"/>
                <w:sz w:val="28"/>
                <w:szCs w:val="28"/>
                <w:lang w:val="en-US" w:eastAsia="zh-CN"/>
              </w:rPr>
            </w:pPr>
            <w:r>
              <w:rPr>
                <w:rFonts w:hint="eastAsia" w:ascii="仿宋_GB2312" w:hAnsi="仿宋_GB2312" w:eastAsia="仿宋_GB2312" w:cs="仿宋_GB2312"/>
                <w:b w:val="0"/>
                <w:bCs w:val="0"/>
                <w:color w:val="auto"/>
                <w:spacing w:val="-3"/>
                <w:sz w:val="28"/>
                <w:szCs w:val="28"/>
                <w:lang w:val="en-US" w:eastAsia="zh-CN"/>
              </w:rPr>
              <w:t>各种物料进入混合机混合时，小粒径颗粒物会飘散形成粉尘。混合机为连续生产，属于封闭状态，且本项目采用湿式拌浆工艺，粉尘产生量极小。</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48" w:firstLineChars="200"/>
              <w:jc w:val="left"/>
              <w:textAlignment w:val="auto"/>
              <w:outlineLvl w:val="9"/>
              <w:rPr>
                <w:rFonts w:hint="eastAsia" w:ascii="仿宋_GB2312" w:hAnsi="仿宋_GB2312" w:eastAsia="仿宋_GB2312" w:cs="仿宋_GB2312"/>
                <w:b w:val="0"/>
                <w:bCs w:val="0"/>
                <w:color w:val="auto"/>
                <w:spacing w:val="-3"/>
                <w:sz w:val="28"/>
                <w:szCs w:val="28"/>
                <w:lang w:val="en-US" w:eastAsia="zh-CN"/>
              </w:rPr>
            </w:pPr>
            <w:r>
              <w:rPr>
                <w:rFonts w:hint="eastAsia" w:ascii="仿宋_GB2312" w:hAnsi="仿宋_GB2312" w:eastAsia="仿宋_GB2312" w:cs="仿宋_GB2312"/>
                <w:b w:val="0"/>
                <w:bCs w:val="0"/>
                <w:color w:val="auto"/>
                <w:spacing w:val="-3"/>
                <w:sz w:val="28"/>
                <w:szCs w:val="28"/>
                <w:lang w:val="en-US" w:eastAsia="zh-CN"/>
              </w:rPr>
              <w:t>④成品外运</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48" w:firstLineChars="200"/>
              <w:jc w:val="left"/>
              <w:textAlignment w:val="auto"/>
              <w:outlineLvl w:val="9"/>
              <w:rPr>
                <w:rFonts w:hint="eastAsia" w:ascii="仿宋_GB2312" w:hAnsi="仿宋_GB2312" w:eastAsia="仿宋_GB2312" w:cs="仿宋_GB2312"/>
                <w:b w:val="0"/>
                <w:bCs w:val="0"/>
                <w:color w:val="auto"/>
                <w:spacing w:val="-3"/>
                <w:sz w:val="28"/>
                <w:szCs w:val="28"/>
                <w:lang w:val="en-US" w:eastAsia="zh-CN"/>
              </w:rPr>
            </w:pPr>
            <w:r>
              <w:rPr>
                <w:rFonts w:hint="eastAsia" w:ascii="仿宋_GB2312" w:hAnsi="仿宋_GB2312" w:eastAsia="仿宋_GB2312" w:cs="仿宋_GB2312"/>
                <w:b w:val="0"/>
                <w:bCs w:val="0"/>
                <w:color w:val="auto"/>
                <w:spacing w:val="-3"/>
                <w:sz w:val="28"/>
                <w:szCs w:val="28"/>
                <w:lang w:val="en-US" w:eastAsia="zh-CN"/>
              </w:rPr>
              <w:t>拌合好的砂浆直接泵入搅拌运输机外运至施工现场使用。</w:t>
            </w:r>
          </w:p>
          <w:p>
            <w:pPr>
              <w:keepNext w:val="0"/>
              <w:keepLines w:val="0"/>
              <w:pageBreakBefore w:val="0"/>
              <w:widowControl w:val="0"/>
              <w:numPr>
                <w:numId w:val="0"/>
              </w:numPr>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b/>
                <w:bCs/>
                <w:color w:val="auto"/>
                <w:spacing w:val="-3"/>
                <w:sz w:val="28"/>
                <w:szCs w:val="28"/>
                <w:lang w:val="en-US" w:eastAsia="zh-CN"/>
              </w:rPr>
            </w:pPr>
            <w:r>
              <w:rPr>
                <w:rFonts w:hint="eastAsia" w:ascii="仿宋_GB2312" w:hAnsi="仿宋_GB2312" w:eastAsia="仿宋_GB2312" w:cs="仿宋_GB2312"/>
                <w:b/>
                <w:bCs/>
                <w:color w:val="auto"/>
                <w:spacing w:val="-3"/>
                <w:sz w:val="28"/>
                <w:szCs w:val="28"/>
                <w:lang w:val="en-US" w:eastAsia="zh-CN"/>
              </w:rPr>
              <w:t>三、PC 预制构件生产工艺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outlineLvl w:val="9"/>
              <w:rPr>
                <w:rFonts w:hint="eastAsia" w:ascii="仿宋_GB2312" w:hAnsi="仿宋_GB2312" w:eastAsia="仿宋_GB2312" w:cs="仿宋_GB2312"/>
                <w:b w:val="0"/>
                <w:bCs w:val="0"/>
                <w:color w:val="auto"/>
                <w:spacing w:val="-3"/>
                <w:sz w:val="28"/>
                <w:szCs w:val="28"/>
                <w:lang w:val="en-US" w:eastAsia="zh-CN"/>
              </w:rPr>
            </w:pPr>
            <w:r>
              <w:drawing>
                <wp:inline distT="0" distB="0" distL="114300" distR="114300">
                  <wp:extent cx="5793105" cy="1866900"/>
                  <wp:effectExtent l="0" t="0" r="17145" b="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21"/>
                          <a:srcRect l="1266"/>
                          <a:stretch>
                            <a:fillRect/>
                          </a:stretch>
                        </pic:blipFill>
                        <pic:spPr>
                          <a:xfrm>
                            <a:off x="0" y="0"/>
                            <a:ext cx="5793105" cy="18669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48" w:firstLineChars="200"/>
              <w:jc w:val="left"/>
              <w:textAlignment w:val="auto"/>
              <w:outlineLvl w:val="9"/>
              <w:rPr>
                <w:rFonts w:hint="eastAsia" w:ascii="仿宋_GB2312" w:hAnsi="仿宋_GB2312" w:eastAsia="仿宋_GB2312" w:cs="仿宋_GB2312"/>
                <w:b w:val="0"/>
                <w:bCs w:val="0"/>
                <w:color w:val="auto"/>
                <w:spacing w:val="-3"/>
                <w:sz w:val="28"/>
                <w:szCs w:val="28"/>
                <w:lang w:val="en-US" w:eastAsia="zh-CN"/>
              </w:rPr>
            </w:pPr>
            <w:r>
              <w:rPr>
                <w:rFonts w:hint="eastAsia" w:ascii="仿宋_GB2312" w:hAnsi="仿宋_GB2312" w:eastAsia="仿宋_GB2312" w:cs="仿宋_GB2312"/>
                <w:b w:val="0"/>
                <w:bCs w:val="0"/>
                <w:color w:val="auto"/>
                <w:spacing w:val="-3"/>
                <w:sz w:val="28"/>
                <w:szCs w:val="28"/>
                <w:lang w:val="en-US" w:eastAsia="zh-CN"/>
              </w:rPr>
              <w:t>工艺流程简述：</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48" w:firstLineChars="200"/>
              <w:jc w:val="left"/>
              <w:textAlignment w:val="auto"/>
              <w:outlineLvl w:val="9"/>
              <w:rPr>
                <w:rFonts w:hint="eastAsia" w:ascii="仿宋_GB2312" w:hAnsi="仿宋_GB2312" w:eastAsia="仿宋_GB2312" w:cs="仿宋_GB2312"/>
                <w:b w:val="0"/>
                <w:bCs w:val="0"/>
                <w:color w:val="auto"/>
                <w:spacing w:val="-3"/>
                <w:sz w:val="28"/>
                <w:szCs w:val="28"/>
                <w:lang w:val="en-US" w:eastAsia="zh-CN"/>
              </w:rPr>
            </w:pPr>
            <w:r>
              <w:rPr>
                <w:rFonts w:hint="eastAsia" w:ascii="仿宋_GB2312" w:hAnsi="仿宋_GB2312" w:eastAsia="仿宋_GB2312" w:cs="仿宋_GB2312"/>
                <w:b w:val="0"/>
                <w:bCs w:val="0"/>
                <w:color w:val="auto"/>
                <w:spacing w:val="-3"/>
                <w:sz w:val="28"/>
                <w:szCs w:val="28"/>
                <w:lang w:val="en-US" w:eastAsia="zh-CN"/>
              </w:rPr>
              <w:t>①模具组装：组装模具，并对模台表面进行清理，清除模台表面的残留混凝土渣，使模台表面整洁干净。</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48" w:firstLineChars="200"/>
              <w:jc w:val="left"/>
              <w:textAlignment w:val="auto"/>
              <w:outlineLvl w:val="9"/>
              <w:rPr>
                <w:rFonts w:hint="eastAsia" w:ascii="仿宋_GB2312" w:hAnsi="仿宋_GB2312" w:eastAsia="仿宋_GB2312" w:cs="仿宋_GB2312"/>
                <w:b w:val="0"/>
                <w:bCs w:val="0"/>
                <w:color w:val="auto"/>
                <w:spacing w:val="-3"/>
                <w:sz w:val="28"/>
                <w:szCs w:val="28"/>
                <w:lang w:val="en-US" w:eastAsia="zh-CN"/>
              </w:rPr>
            </w:pPr>
            <w:r>
              <w:rPr>
                <w:rFonts w:hint="eastAsia" w:ascii="仿宋_GB2312" w:hAnsi="仿宋_GB2312" w:eastAsia="仿宋_GB2312" w:cs="仿宋_GB2312"/>
                <w:b w:val="0"/>
                <w:bCs w:val="0"/>
                <w:color w:val="auto"/>
                <w:spacing w:val="-3"/>
                <w:sz w:val="28"/>
                <w:szCs w:val="28"/>
                <w:lang w:val="en-US" w:eastAsia="zh-CN"/>
              </w:rPr>
              <w:t>②喷脱模剂：将脱模剂喷涂在模台表面，使模台表面形成一层脱模剂油膜，便于之后的拆模。</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48" w:firstLineChars="200"/>
              <w:jc w:val="left"/>
              <w:textAlignment w:val="auto"/>
              <w:outlineLvl w:val="9"/>
              <w:rPr>
                <w:rFonts w:hint="eastAsia" w:ascii="仿宋_GB2312" w:hAnsi="仿宋_GB2312" w:eastAsia="仿宋_GB2312" w:cs="仿宋_GB2312"/>
                <w:b w:val="0"/>
                <w:bCs w:val="0"/>
                <w:color w:val="auto"/>
                <w:spacing w:val="-3"/>
                <w:sz w:val="28"/>
                <w:szCs w:val="28"/>
                <w:lang w:val="en-US" w:eastAsia="zh-CN"/>
              </w:rPr>
            </w:pPr>
            <w:r>
              <w:rPr>
                <w:rFonts w:hint="eastAsia" w:ascii="仿宋_GB2312" w:hAnsi="仿宋_GB2312" w:eastAsia="仿宋_GB2312" w:cs="仿宋_GB2312"/>
                <w:b w:val="0"/>
                <w:bCs w:val="0"/>
                <w:color w:val="auto"/>
                <w:spacing w:val="-3"/>
                <w:sz w:val="28"/>
                <w:szCs w:val="28"/>
                <w:lang w:val="en-US" w:eastAsia="zh-CN"/>
              </w:rPr>
              <w:t>③安装钢筋：将钢筋架安装在模台上，钢筋架之间使用焊接进行拼接，此工序会产生焊接烟尘。</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48" w:firstLineChars="200"/>
              <w:jc w:val="left"/>
              <w:textAlignment w:val="auto"/>
              <w:outlineLvl w:val="9"/>
              <w:rPr>
                <w:rFonts w:hint="eastAsia" w:ascii="仿宋_GB2312" w:hAnsi="仿宋_GB2312" w:eastAsia="仿宋_GB2312" w:cs="仿宋_GB2312"/>
                <w:b w:val="0"/>
                <w:bCs w:val="0"/>
                <w:color w:val="auto"/>
                <w:spacing w:val="-3"/>
                <w:sz w:val="28"/>
                <w:szCs w:val="28"/>
                <w:lang w:val="en-US" w:eastAsia="zh-CN"/>
              </w:rPr>
            </w:pPr>
            <w:r>
              <w:rPr>
                <w:rFonts w:hint="eastAsia" w:ascii="仿宋_GB2312" w:hAnsi="仿宋_GB2312" w:eastAsia="仿宋_GB2312" w:cs="仿宋_GB2312"/>
                <w:b w:val="0"/>
                <w:bCs w:val="0"/>
                <w:color w:val="auto"/>
                <w:spacing w:val="-3"/>
                <w:sz w:val="28"/>
                <w:szCs w:val="28"/>
                <w:lang w:val="en-US" w:eastAsia="zh-CN"/>
              </w:rPr>
              <w:t>④安装埋件：安装电气盒等相关埋件。</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48" w:firstLineChars="200"/>
              <w:jc w:val="left"/>
              <w:textAlignment w:val="auto"/>
              <w:outlineLvl w:val="9"/>
              <w:rPr>
                <w:rFonts w:hint="eastAsia" w:ascii="仿宋_GB2312" w:hAnsi="仿宋_GB2312" w:eastAsia="仿宋_GB2312" w:cs="仿宋_GB2312"/>
                <w:b w:val="0"/>
                <w:bCs w:val="0"/>
                <w:color w:val="auto"/>
                <w:spacing w:val="-3"/>
                <w:sz w:val="28"/>
                <w:szCs w:val="28"/>
                <w:lang w:val="en-US" w:eastAsia="zh-CN"/>
              </w:rPr>
            </w:pPr>
            <w:r>
              <w:rPr>
                <w:rFonts w:hint="eastAsia" w:ascii="仿宋_GB2312" w:hAnsi="仿宋_GB2312" w:eastAsia="仿宋_GB2312" w:cs="仿宋_GB2312"/>
                <w:b w:val="0"/>
                <w:bCs w:val="0"/>
                <w:color w:val="auto"/>
                <w:spacing w:val="-3"/>
                <w:sz w:val="28"/>
                <w:szCs w:val="28"/>
                <w:lang w:val="en-US" w:eastAsia="zh-CN"/>
              </w:rPr>
              <w:t>⑤浇筑振捣：使用厂区自备商品混凝土对模台进行浇筑，浇筑完成后将混凝土振捣密实。</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48" w:firstLineChars="200"/>
              <w:jc w:val="left"/>
              <w:textAlignment w:val="auto"/>
              <w:outlineLvl w:val="9"/>
              <w:rPr>
                <w:rFonts w:hint="eastAsia" w:ascii="仿宋_GB2312" w:hAnsi="仿宋_GB2312" w:eastAsia="仿宋_GB2312" w:cs="仿宋_GB2312"/>
                <w:b w:val="0"/>
                <w:bCs w:val="0"/>
                <w:color w:val="auto"/>
                <w:spacing w:val="-3"/>
                <w:sz w:val="28"/>
                <w:szCs w:val="28"/>
                <w:lang w:val="en-US" w:eastAsia="zh-CN"/>
              </w:rPr>
            </w:pPr>
            <w:r>
              <w:rPr>
                <w:rFonts w:hint="eastAsia" w:ascii="仿宋_GB2312" w:hAnsi="仿宋_GB2312" w:eastAsia="仿宋_GB2312" w:cs="仿宋_GB2312"/>
                <w:b w:val="0"/>
                <w:bCs w:val="0"/>
                <w:color w:val="auto"/>
                <w:spacing w:val="-3"/>
                <w:sz w:val="28"/>
                <w:szCs w:val="28"/>
                <w:lang w:val="en-US" w:eastAsia="zh-CN"/>
              </w:rPr>
              <w:t>⑥养护：对模具内的混凝土构件进行养护，养护使将构件放置在养护区自然养护，养护周期为27天，使构件凝固强度达到要求。</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48" w:firstLineChars="200"/>
              <w:jc w:val="left"/>
              <w:textAlignment w:val="auto"/>
              <w:outlineLvl w:val="9"/>
              <w:rPr>
                <w:rFonts w:hint="default" w:ascii="仿宋_GB2312" w:hAnsi="仿宋_GB2312" w:eastAsia="仿宋_GB2312" w:cs="仿宋_GB2312"/>
                <w:b w:val="0"/>
                <w:bCs w:val="0"/>
                <w:color w:val="auto"/>
                <w:spacing w:val="-3"/>
                <w:sz w:val="28"/>
                <w:szCs w:val="28"/>
                <w:lang w:val="en-US" w:eastAsia="zh-CN"/>
              </w:rPr>
            </w:pPr>
            <w:r>
              <w:rPr>
                <w:rFonts w:hint="eastAsia" w:ascii="仿宋_GB2312" w:hAnsi="仿宋_GB2312" w:eastAsia="仿宋_GB2312" w:cs="仿宋_GB2312"/>
                <w:b w:val="0"/>
                <w:bCs w:val="0"/>
                <w:color w:val="auto"/>
                <w:spacing w:val="-3"/>
                <w:sz w:val="28"/>
                <w:szCs w:val="28"/>
                <w:lang w:val="en-US" w:eastAsia="zh-CN"/>
              </w:rPr>
              <w:t>⑦脱模：对养护好的混凝土构件进行拆模，形成成品。</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48" w:firstLineChars="200"/>
              <w:jc w:val="left"/>
              <w:textAlignment w:val="auto"/>
              <w:outlineLvl w:val="9"/>
              <w:rPr>
                <w:rFonts w:hint="eastAsia" w:ascii="仿宋_GB2312" w:hAnsi="仿宋_GB2312" w:eastAsia="仿宋_GB2312" w:cs="仿宋_GB2312"/>
                <w:b w:val="0"/>
                <w:bCs w:val="0"/>
                <w:color w:val="auto"/>
                <w:spacing w:val="-3"/>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48" w:firstLineChars="200"/>
              <w:jc w:val="left"/>
              <w:textAlignment w:val="auto"/>
              <w:outlineLvl w:val="9"/>
              <w:rPr>
                <w:rFonts w:hint="eastAsia" w:ascii="仿宋_GB2312" w:hAnsi="仿宋_GB2312" w:eastAsia="仿宋_GB2312" w:cs="仿宋_GB2312"/>
                <w:b w:val="0"/>
                <w:bCs w:val="0"/>
                <w:color w:val="auto"/>
                <w:spacing w:val="-3"/>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48" w:firstLineChars="200"/>
              <w:jc w:val="left"/>
              <w:textAlignment w:val="auto"/>
              <w:outlineLvl w:val="9"/>
              <w:rPr>
                <w:rFonts w:hint="eastAsia" w:ascii="仿宋_GB2312" w:hAnsi="仿宋_GB2312" w:eastAsia="仿宋_GB2312" w:cs="仿宋_GB2312"/>
                <w:b w:val="0"/>
                <w:bCs w:val="0"/>
                <w:color w:val="auto"/>
                <w:spacing w:val="-3"/>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48" w:firstLineChars="200"/>
              <w:jc w:val="left"/>
              <w:textAlignment w:val="auto"/>
              <w:outlineLvl w:val="9"/>
              <w:rPr>
                <w:rFonts w:hint="eastAsia" w:ascii="仿宋_GB2312" w:hAnsi="仿宋_GB2312" w:eastAsia="仿宋_GB2312" w:cs="仿宋_GB2312"/>
                <w:b w:val="0"/>
                <w:bCs w:val="0"/>
                <w:color w:val="auto"/>
                <w:spacing w:val="-3"/>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48" w:firstLineChars="200"/>
              <w:jc w:val="left"/>
              <w:textAlignment w:val="auto"/>
              <w:outlineLvl w:val="9"/>
              <w:rPr>
                <w:rFonts w:hint="eastAsia" w:ascii="仿宋_GB2312" w:hAnsi="仿宋_GB2312" w:eastAsia="仿宋_GB2312" w:cs="仿宋_GB2312"/>
                <w:b w:val="0"/>
                <w:bCs w:val="0"/>
                <w:color w:val="auto"/>
                <w:spacing w:val="-3"/>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48" w:firstLineChars="200"/>
              <w:jc w:val="left"/>
              <w:textAlignment w:val="auto"/>
              <w:outlineLvl w:val="9"/>
              <w:rPr>
                <w:rFonts w:hint="eastAsia" w:ascii="仿宋_GB2312" w:hAnsi="仿宋_GB2312" w:eastAsia="仿宋_GB2312" w:cs="仿宋_GB2312"/>
                <w:b w:val="0"/>
                <w:bCs w:val="0"/>
                <w:color w:val="auto"/>
                <w:spacing w:val="-3"/>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48" w:firstLineChars="200"/>
              <w:jc w:val="left"/>
              <w:textAlignment w:val="auto"/>
              <w:outlineLvl w:val="9"/>
              <w:rPr>
                <w:rFonts w:hint="default" w:ascii="仿宋_GB2312" w:hAnsi="仿宋_GB2312" w:eastAsia="仿宋_GB2312" w:cs="仿宋_GB2312"/>
                <w:b w:val="0"/>
                <w:bCs w:val="0"/>
                <w:color w:val="auto"/>
                <w:spacing w:val="-3"/>
                <w:sz w:val="28"/>
                <w:szCs w:val="28"/>
                <w:lang w:val="en-US" w:eastAsia="zh-CN"/>
              </w:rPr>
            </w:pPr>
          </w:p>
        </w:tc>
      </w:tr>
    </w:tbl>
    <w:p>
      <w:pPr>
        <w:rPr>
          <w:rFonts w:hint="eastAsia" w:ascii="仿宋_GB2312" w:hAnsi="仿宋_GB2312" w:eastAsia="仿宋_GB2312" w:cs="仿宋_GB2312"/>
          <w:b/>
          <w:bCs/>
          <w:color w:val="auto"/>
          <w:sz w:val="28"/>
          <w:szCs w:val="28"/>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4"/>
        <w:keepNext/>
        <w:keepLines/>
        <w:pageBreakBefore w:val="0"/>
        <w:widowControl w:val="0"/>
        <w:kinsoku/>
        <w:wordWrap/>
        <w:overflowPunct/>
        <w:topLinePunct w:val="0"/>
        <w:autoSpaceDE/>
        <w:autoSpaceDN/>
        <w:bidi w:val="0"/>
        <w:adjustRightInd/>
        <w:snapToGrid w:val="0"/>
        <w:spacing w:line="240" w:lineRule="auto"/>
        <w:textAlignment w:val="baseline"/>
        <w:rPr>
          <w:rFonts w:hint="eastAsia"/>
          <w:color w:val="auto"/>
          <w:lang w:eastAsia="zh-CN"/>
        </w:rPr>
      </w:pPr>
      <w:r>
        <w:rPr>
          <w:rFonts w:hint="eastAsia"/>
          <w:color w:val="auto"/>
          <w:lang w:eastAsia="zh-CN"/>
        </w:rPr>
        <w:t>表三</w:t>
      </w:r>
    </w:p>
    <w:tbl>
      <w:tblPr>
        <w:tblStyle w:val="17"/>
        <w:tblW w:w="9213"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9213"/>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2194" w:hRule="atLeast"/>
          <w:jc w:val="center"/>
        </w:trPr>
        <w:tc>
          <w:tcPr>
            <w:tcW w:w="9320"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bCs/>
                <w:color w:val="auto"/>
                <w:sz w:val="28"/>
                <w:szCs w:val="28"/>
                <w:vertAlign w:val="baseline"/>
                <w:lang w:eastAsia="zh-CN"/>
              </w:rPr>
            </w:pPr>
            <w:r>
              <w:rPr>
                <w:rFonts w:hint="eastAsia" w:ascii="仿宋_GB2312" w:hAnsi="仿宋_GB2312" w:eastAsia="仿宋_GB2312" w:cs="仿宋_GB2312"/>
                <w:b/>
                <w:bCs/>
                <w:color w:val="auto"/>
                <w:sz w:val="28"/>
                <w:szCs w:val="28"/>
                <w:vertAlign w:val="baseline"/>
                <w:lang w:eastAsia="zh-CN"/>
              </w:rPr>
              <w:t>主要污染源、污染物处理和排放</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2" w:firstLineChars="200"/>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1、废气</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firstLine="560" w:firstLineChars="200"/>
              <w:jc w:val="left"/>
              <w:textAlignment w:val="auto"/>
              <w:rPr>
                <w:rFonts w:hint="eastAsia" w:ascii="仿宋_GB2312" w:hAnsi="仿宋_GB2312" w:eastAsia="仿宋_GB2312" w:cs="仿宋_GB2312"/>
                <w:b w:val="0"/>
                <w:bCs w:val="0"/>
                <w:color w:val="auto"/>
                <w:kern w:val="2"/>
                <w:sz w:val="28"/>
                <w:szCs w:val="28"/>
                <w:vertAlign w:val="baseline"/>
                <w:lang w:val="en-US" w:eastAsia="zh-CN" w:bidi="ar-SA"/>
              </w:rPr>
            </w:pPr>
            <w:r>
              <w:rPr>
                <w:rFonts w:hint="eastAsia" w:ascii="仿宋_GB2312" w:hAnsi="仿宋_GB2312" w:eastAsia="仿宋_GB2312" w:cs="仿宋_GB2312"/>
                <w:b w:val="0"/>
                <w:bCs w:val="0"/>
                <w:color w:val="auto"/>
                <w:kern w:val="2"/>
                <w:sz w:val="28"/>
                <w:szCs w:val="28"/>
                <w:vertAlign w:val="baseline"/>
                <w:lang w:val="en-US" w:eastAsia="zh-CN" w:bidi="ar-SA"/>
              </w:rPr>
              <w:t>（1）有组织废气</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firstLine="560" w:firstLineChars="200"/>
              <w:jc w:val="left"/>
              <w:textAlignment w:val="auto"/>
              <w:rPr>
                <w:rFonts w:hint="eastAsia" w:ascii="仿宋_GB2312" w:hAnsi="仿宋_GB2312" w:eastAsia="仿宋_GB2312" w:cs="仿宋_GB2312"/>
                <w:b w:val="0"/>
                <w:bCs w:val="0"/>
                <w:color w:val="auto"/>
                <w:kern w:val="2"/>
                <w:sz w:val="28"/>
                <w:szCs w:val="28"/>
                <w:vertAlign w:val="baseline"/>
                <w:lang w:val="en-US" w:eastAsia="zh-CN" w:bidi="ar-SA"/>
              </w:rPr>
            </w:pPr>
            <w:r>
              <w:rPr>
                <w:rFonts w:hint="eastAsia" w:ascii="仿宋_GB2312" w:hAnsi="仿宋_GB2312" w:eastAsia="仿宋_GB2312" w:cs="仿宋_GB2312"/>
                <w:b w:val="0"/>
                <w:bCs w:val="0"/>
                <w:color w:val="auto"/>
                <w:kern w:val="2"/>
                <w:sz w:val="28"/>
                <w:szCs w:val="28"/>
                <w:vertAlign w:val="baseline"/>
                <w:lang w:val="en-US" w:eastAsia="zh-CN" w:bidi="ar-SA"/>
              </w:rPr>
              <w:t>本项目废气主要为生产过程中砂石卸料粉尘、搅拌机投料扬尘、粉料罐仓仓顶呼吸孔粉尘，其污染物主要是粉尘，外排污染物主要以无组织逸散的方式。</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firstLine="562" w:firstLineChars="200"/>
              <w:jc w:val="left"/>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2、废水</w:t>
            </w:r>
          </w:p>
          <w:p>
            <w:pPr>
              <w:pStyle w:val="2"/>
              <w:keepNext w:val="0"/>
              <w:keepLines w:val="0"/>
              <w:pageBreakBefore w:val="0"/>
              <w:widowControl w:val="0"/>
              <w:kinsoku/>
              <w:wordWrap/>
              <w:overflowPunct/>
              <w:topLinePunct w:val="0"/>
              <w:autoSpaceDE/>
              <w:autoSpaceDN/>
              <w:bidi w:val="0"/>
              <w:adjustRightInd/>
              <w:snapToGrid/>
              <w:spacing w:before="1" w:line="480" w:lineRule="exact"/>
              <w:ind w:left="244" w:right="255" w:firstLine="471"/>
              <w:jc w:val="both"/>
              <w:textAlignment w:val="auto"/>
              <w:rPr>
                <w:rFonts w:hint="default" w:ascii="仿宋_GB2312" w:hAnsi="仿宋_GB2312" w:eastAsia="仿宋_GB2312" w:cs="仿宋_GB2312"/>
                <w:b w:val="0"/>
                <w:bCs w:val="0"/>
                <w:color w:val="auto"/>
                <w:kern w:val="2"/>
                <w:sz w:val="28"/>
                <w:szCs w:val="28"/>
                <w:vertAlign w:val="baseline"/>
                <w:lang w:val="en-US" w:eastAsia="zh-CN" w:bidi="ar-SA"/>
              </w:rPr>
            </w:pPr>
            <w:r>
              <w:rPr>
                <w:rFonts w:hint="eastAsia" w:ascii="仿宋_GB2312" w:hAnsi="仿宋_GB2312" w:eastAsia="仿宋_GB2312" w:cs="仿宋_GB2312"/>
                <w:b w:val="0"/>
                <w:bCs w:val="0"/>
                <w:color w:val="auto"/>
                <w:kern w:val="2"/>
                <w:sz w:val="28"/>
                <w:szCs w:val="28"/>
                <w:vertAlign w:val="baseline"/>
                <w:lang w:val="en-US" w:eastAsia="zh-CN" w:bidi="ar-SA"/>
              </w:rPr>
              <w:t>本项目废水外排。</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firstLine="562" w:firstLineChars="200"/>
              <w:jc w:val="left"/>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kern w:val="0"/>
                <w:sz w:val="28"/>
                <w:szCs w:val="28"/>
                <w:lang w:val="en-US" w:eastAsia="zh-CN" w:bidi="ar"/>
              </w:rPr>
              <w:t>3、</w:t>
            </w:r>
            <w:r>
              <w:rPr>
                <w:rFonts w:hint="eastAsia" w:ascii="仿宋_GB2312" w:hAnsi="仿宋_GB2312" w:eastAsia="仿宋_GB2312" w:cs="仿宋_GB2312"/>
                <w:b/>
                <w:bCs/>
                <w:color w:val="auto"/>
                <w:sz w:val="28"/>
                <w:szCs w:val="28"/>
                <w:vertAlign w:val="baseline"/>
                <w:lang w:val="en-US" w:eastAsia="zh-CN"/>
              </w:rPr>
              <w:t>噪声</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jc w:val="left"/>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本项目噪声主要来源于生产设备的运行，主要通过添加减震基础减少噪声污染。</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2" w:firstLineChars="200"/>
              <w:jc w:val="left"/>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4、固废</w:t>
            </w:r>
          </w:p>
          <w:p>
            <w:pPr>
              <w:pStyle w:val="2"/>
              <w:keepNext w:val="0"/>
              <w:keepLines w:val="0"/>
              <w:pageBreakBefore w:val="0"/>
              <w:widowControl w:val="0"/>
              <w:kinsoku/>
              <w:wordWrap/>
              <w:overflowPunct/>
              <w:topLinePunct w:val="0"/>
              <w:autoSpaceDE/>
              <w:autoSpaceDN/>
              <w:bidi w:val="0"/>
              <w:adjustRightInd/>
              <w:snapToGrid/>
              <w:spacing w:before="160" w:line="480" w:lineRule="exact"/>
              <w:ind w:firstLine="560" w:firstLineChars="200"/>
              <w:textAlignment w:val="auto"/>
              <w:rPr>
                <w:rFonts w:hint="eastAsia" w:ascii="仿宋_GB2312" w:hAnsi="仿宋_GB2312" w:eastAsia="仿宋_GB2312" w:cs="仿宋_GB2312"/>
                <w:b w:val="0"/>
                <w:bCs w:val="0"/>
                <w:color w:val="auto"/>
                <w:sz w:val="28"/>
                <w:szCs w:val="28"/>
                <w:vertAlign w:val="baseline"/>
                <w:lang w:val="en-US" w:eastAsia="zh-CN"/>
              </w:rPr>
            </w:pPr>
            <w:r>
              <w:rPr>
                <w:rFonts w:hint="eastAsia" w:ascii="仿宋_GB2312" w:hAnsi="仿宋_GB2312" w:eastAsia="仿宋_GB2312" w:cs="仿宋_GB2312"/>
                <w:b w:val="0"/>
                <w:bCs w:val="0"/>
                <w:color w:val="auto"/>
                <w:sz w:val="28"/>
                <w:szCs w:val="28"/>
                <w:vertAlign w:val="baseline"/>
                <w:lang w:val="en-US" w:eastAsia="zh-CN"/>
              </w:rPr>
              <w:t>本项目固体废物包括布袋收集除尘器收集的粉尘、原料包装袋以及生活垃圾。</w:t>
            </w:r>
          </w:p>
          <w:p>
            <w:pPr>
              <w:pStyle w:val="2"/>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b w:val="0"/>
                <w:bCs w:val="0"/>
                <w:color w:val="auto"/>
                <w:sz w:val="28"/>
                <w:szCs w:val="28"/>
                <w:vertAlign w:val="baseline"/>
                <w:lang w:val="en-US" w:eastAsia="zh-CN"/>
              </w:rPr>
            </w:pPr>
            <w:r>
              <w:rPr>
                <w:rFonts w:hint="eastAsia" w:ascii="仿宋_GB2312" w:hAnsi="仿宋_GB2312" w:eastAsia="仿宋_GB2312" w:cs="仿宋_GB2312"/>
                <w:b w:val="0"/>
                <w:bCs w:val="0"/>
                <w:color w:val="auto"/>
                <w:sz w:val="28"/>
                <w:szCs w:val="28"/>
                <w:vertAlign w:val="baseline"/>
                <w:lang w:val="en-US" w:eastAsia="zh-CN"/>
              </w:rPr>
              <w:t>生产过程中布袋除尘器收集的粉尘，全部回收作为原料再利用；废包装袋经集中收集后交由物资回收部门回用利用。生活垃圾经厂区内统一收集后交由当地环卫部门处理。</w:t>
            </w:r>
          </w:p>
          <w:p>
            <w:pPr>
              <w:numPr>
                <w:ilvl w:val="0"/>
                <w:numId w:val="0"/>
              </w:numPr>
              <w:jc w:val="left"/>
              <w:rPr>
                <w:rFonts w:hint="default"/>
                <w:color w:val="auto"/>
                <w:sz w:val="24"/>
                <w:lang w:val="en-US" w:eastAsia="zh-CN"/>
              </w:rPr>
            </w:pPr>
          </w:p>
        </w:tc>
      </w:tr>
    </w:tbl>
    <w:p>
      <w:pPr>
        <w:pStyle w:val="4"/>
        <w:keepNext/>
        <w:keepLines/>
        <w:pageBreakBefore w:val="0"/>
        <w:widowControl w:val="0"/>
        <w:kinsoku/>
        <w:wordWrap/>
        <w:overflowPunct/>
        <w:topLinePunct w:val="0"/>
        <w:autoSpaceDE/>
        <w:autoSpaceDN/>
        <w:bidi w:val="0"/>
        <w:adjustRightInd/>
        <w:snapToGrid w:val="0"/>
        <w:spacing w:line="240" w:lineRule="auto"/>
        <w:textAlignment w:val="baseline"/>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表四</w:t>
      </w:r>
    </w:p>
    <w:tbl>
      <w:tblPr>
        <w:tblStyle w:val="17"/>
        <w:tblW w:w="9071"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071"/>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3249" w:hRule="atLeast"/>
          <w:jc w:val="center"/>
        </w:trPr>
        <w:tc>
          <w:tcPr>
            <w:tcW w:w="9354"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bCs/>
                <w:color w:val="auto"/>
                <w:sz w:val="28"/>
                <w:szCs w:val="28"/>
                <w:vertAlign w:val="baseline"/>
                <w:lang w:eastAsia="zh-CN"/>
              </w:rPr>
            </w:pPr>
            <w:r>
              <w:rPr>
                <w:rFonts w:hint="eastAsia" w:ascii="仿宋_GB2312" w:hAnsi="仿宋_GB2312" w:eastAsia="仿宋_GB2312" w:cs="仿宋_GB2312"/>
                <w:b/>
                <w:bCs/>
                <w:color w:val="auto"/>
                <w:sz w:val="28"/>
                <w:szCs w:val="28"/>
                <w:vertAlign w:val="baseline"/>
                <w:lang w:eastAsia="zh-CN"/>
              </w:rPr>
              <w:t>建设项目环境影响报告表主要结论及审批部门审批决定</w:t>
            </w:r>
          </w:p>
          <w:p>
            <w:pPr>
              <w:pStyle w:val="4"/>
              <w:pageBreakBefore w:val="0"/>
              <w:widowControl w:val="0"/>
              <w:kinsoku/>
              <w:wordWrap/>
              <w:overflowPunct/>
              <w:topLinePunct w:val="0"/>
              <w:autoSpaceDE/>
              <w:autoSpaceDN/>
              <w:bidi w:val="0"/>
              <w:adjustRightInd/>
              <w:snapToGrid/>
              <w:spacing w:before="0" w:after="0" w:line="480" w:lineRule="exact"/>
              <w:ind w:left="0" w:leftChars="0" w:right="0" w:rightChars="0" w:firstLine="0" w:firstLineChars="0"/>
              <w:jc w:val="both"/>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一、</w:t>
            </w:r>
            <w:r>
              <w:rPr>
                <w:rFonts w:hint="eastAsia" w:ascii="仿宋_GB2312" w:hAnsi="仿宋_GB2312" w:eastAsia="仿宋_GB2312" w:cs="仿宋_GB2312"/>
                <w:color w:val="auto"/>
                <w:sz w:val="28"/>
                <w:szCs w:val="28"/>
              </w:rPr>
              <w:t>建设项目环评</w:t>
            </w:r>
            <w:r>
              <w:rPr>
                <w:rFonts w:hint="eastAsia" w:ascii="仿宋_GB2312" w:hAnsi="仿宋_GB2312" w:eastAsia="仿宋_GB2312" w:cs="仿宋_GB2312"/>
                <w:color w:val="auto"/>
                <w:sz w:val="28"/>
                <w:szCs w:val="28"/>
                <w:lang w:eastAsia="zh-CN"/>
              </w:rPr>
              <w:t>报告表</w:t>
            </w:r>
            <w:r>
              <w:rPr>
                <w:rFonts w:hint="eastAsia" w:ascii="仿宋_GB2312" w:hAnsi="仿宋_GB2312" w:eastAsia="仿宋_GB2312" w:cs="仿宋_GB2312"/>
                <w:color w:val="auto"/>
                <w:sz w:val="28"/>
                <w:szCs w:val="28"/>
              </w:rPr>
              <w:t>的</w:t>
            </w:r>
            <w:r>
              <w:rPr>
                <w:rFonts w:hint="eastAsia" w:ascii="仿宋_GB2312" w:hAnsi="仿宋_GB2312" w:eastAsia="仿宋_GB2312" w:cs="仿宋_GB2312"/>
                <w:color w:val="auto"/>
                <w:sz w:val="28"/>
                <w:szCs w:val="28"/>
                <w:lang w:val="en-US" w:eastAsia="zh-CN"/>
              </w:rPr>
              <w:t>总体</w:t>
            </w:r>
            <w:r>
              <w:rPr>
                <w:rFonts w:hint="eastAsia" w:ascii="仿宋_GB2312" w:hAnsi="仿宋_GB2312" w:eastAsia="仿宋_GB2312" w:cs="仿宋_GB2312"/>
                <w:color w:val="auto"/>
                <w:sz w:val="28"/>
                <w:szCs w:val="28"/>
              </w:rPr>
              <w:t>结论</w:t>
            </w:r>
          </w:p>
          <w:p>
            <w:pPr>
              <w:pStyle w:val="4"/>
              <w:keepNext/>
              <w:keepLines/>
              <w:pageBreakBefore w:val="0"/>
              <w:widowControl w:val="0"/>
              <w:kinsoku/>
              <w:wordWrap/>
              <w:overflowPunct/>
              <w:topLinePunct w:val="0"/>
              <w:autoSpaceDE/>
              <w:autoSpaceDN/>
              <w:bidi w:val="0"/>
              <w:adjustRightInd/>
              <w:snapToGrid/>
              <w:spacing w:before="0" w:after="0" w:line="480" w:lineRule="exact"/>
              <w:ind w:left="0" w:leftChars="0" w:right="0" w:rightChars="0" w:firstLine="560" w:firstLineChars="200"/>
              <w:jc w:val="both"/>
              <w:textAlignment w:val="baseline"/>
              <w:rPr>
                <w:rFonts w:hint="eastAsia" w:ascii="仿宋_GB2312" w:hAnsi="仿宋_GB2312" w:eastAsia="仿宋_GB2312" w:cs="仿宋_GB2312"/>
                <w:b w:val="0"/>
                <w:bCs/>
                <w:color w:val="auto"/>
                <w:sz w:val="28"/>
                <w:szCs w:val="28"/>
                <w:lang w:val="en-US" w:eastAsia="zh-CN"/>
              </w:rPr>
            </w:pPr>
            <w:r>
              <w:rPr>
                <w:rFonts w:hint="eastAsia" w:ascii="仿宋_GB2312" w:hAnsi="仿宋_GB2312" w:eastAsia="仿宋_GB2312" w:cs="仿宋_GB2312"/>
                <w:b w:val="0"/>
                <w:bCs/>
                <w:color w:val="auto"/>
                <w:sz w:val="28"/>
                <w:szCs w:val="28"/>
                <w:lang w:val="en-US" w:eastAsia="zh-CN"/>
              </w:rPr>
              <w:t>明光市沪光建筑材料有限公司年产30万立方预拌砂浆、商品混凝土、15万立方PC预制构件项目符合相关产业政策，项目选址合理，项目营运期只要严格按照环境影响缓解措施控制污染，加强环境管理，主要污染物可达标排放，不会降低周围环境功能级别，因此，本评价认为从环境影响角度出发拟建项目建设是合理可行的。</w:t>
            </w:r>
          </w:p>
          <w:p>
            <w:pPr>
              <w:pStyle w:val="4"/>
              <w:keepNext/>
              <w:keepLines/>
              <w:pageBreakBefore w:val="0"/>
              <w:widowControl w:val="0"/>
              <w:kinsoku/>
              <w:wordWrap/>
              <w:overflowPunct/>
              <w:topLinePunct w:val="0"/>
              <w:autoSpaceDE/>
              <w:autoSpaceDN/>
              <w:bidi w:val="0"/>
              <w:adjustRightInd/>
              <w:snapToGrid/>
              <w:spacing w:before="0" w:after="0" w:line="480" w:lineRule="exact"/>
              <w:ind w:left="0" w:leftChars="0" w:right="0" w:rightChars="0" w:firstLine="0" w:firstLineChars="0"/>
              <w:jc w:val="both"/>
              <w:textAlignment w:val="baseline"/>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二、</w:t>
            </w:r>
            <w:r>
              <w:rPr>
                <w:rFonts w:hint="eastAsia" w:ascii="仿宋_GB2312" w:hAnsi="仿宋_GB2312" w:eastAsia="仿宋_GB2312" w:cs="仿宋_GB2312"/>
                <w:color w:val="auto"/>
                <w:sz w:val="28"/>
                <w:szCs w:val="28"/>
                <w:lang w:eastAsia="zh-CN"/>
              </w:rPr>
              <w:t>审批部门审批意见：</w:t>
            </w:r>
          </w:p>
          <w:p>
            <w:pPr>
              <w:keepNext w:val="0"/>
              <w:keepLines w:val="0"/>
              <w:widowControl/>
              <w:suppressLineNumbers w:val="0"/>
              <w:jc w:val="left"/>
            </w:pP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关于明光市沪光建筑材料有限公司</w:t>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年产30万立方预拌砂浆、商品混凝土、15万立方PC预制构件项目环境影响报告表的审批意见</w:t>
            </w:r>
          </w:p>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明环评〔2018〕8号</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cs="Times New Roman"/>
                <w:sz w:val="28"/>
                <w:szCs w:val="28"/>
              </w:rPr>
            </w:pPr>
            <w:r>
              <w:rPr>
                <w:rFonts w:hint="eastAsia" w:eastAsia="仿宋_GB2312" w:cs="Times New Roman"/>
                <w:color w:val="000000"/>
                <w:kern w:val="0"/>
                <w:sz w:val="28"/>
                <w:szCs w:val="28"/>
                <w:lang w:val="en-US" w:eastAsia="zh-CN" w:bidi="ar"/>
              </w:rPr>
              <w:t>明光市沪光建筑材料有限公司</w:t>
            </w:r>
            <w:r>
              <w:rPr>
                <w:rFonts w:hint="default" w:ascii="Times New Roman" w:hAnsi="Times New Roman" w:eastAsia="仿宋_GB2312" w:cs="Times New Roman"/>
                <w:color w:val="000000"/>
                <w:kern w:val="0"/>
                <w:sz w:val="28"/>
                <w:szCs w:val="28"/>
                <w:lang w:val="en-US" w:eastAsia="zh-CN" w:bidi="ar"/>
              </w:rPr>
              <w:t>：</w:t>
            </w:r>
          </w:p>
          <w:p>
            <w:pPr>
              <w:keepNext w:val="0"/>
              <w:keepLines w:val="0"/>
              <w:pageBreakBefore w:val="0"/>
              <w:widowControl w:val="0"/>
              <w:kinsoku/>
              <w:wordWrap/>
              <w:overflowPunct/>
              <w:topLinePunct w:val="0"/>
              <w:autoSpaceDE w:val="0"/>
              <w:autoSpaceDN w:val="0"/>
              <w:bidi w:val="0"/>
              <w:adjustRightInd/>
              <w:snapToGrid/>
              <w:spacing w:line="480" w:lineRule="exact"/>
              <w:ind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你公司报来的《年产30万立方预拌砂、商品混土、15万立方PC预制构件项目环境影响报告表》(以下简称报告表)收悉，项目位于明光市管店镇罗岭工业集中区104国道东侧，占地20000方米，总投资6500万元，其中环保投资44万元。项目主要建设内容为:新建仓库1栋、搅拌楼2栋、办公楼1栋和研发中心1栋，项目投产后形成年产30万立方预拌砂浆、商品混凝土、15万立方PC预制构件的生产能力。该项目通过明光市经信委备案(明经信字</w:t>
            </w:r>
            <w:r>
              <w:rPr>
                <w:rFonts w:hint="eastAsia" w:ascii="宋体" w:hAnsi="宋体" w:eastAsia="宋体" w:cs="宋体"/>
                <w:sz w:val="28"/>
                <w:szCs w:val="28"/>
              </w:rPr>
              <w:t>〔</w:t>
            </w:r>
            <w:r>
              <w:rPr>
                <w:rFonts w:hint="eastAsia" w:ascii="仿宋_GB2312" w:hAnsi="仿宋_GB2312" w:eastAsia="仿宋_GB2312" w:cs="仿宋_GB2312"/>
                <w:sz w:val="28"/>
                <w:szCs w:val="28"/>
              </w:rPr>
              <w:t>2017</w:t>
            </w:r>
            <w:r>
              <w:rPr>
                <w:rFonts w:hint="eastAsia" w:ascii="宋体" w:hAnsi="宋体" w:eastAsia="宋体" w:cs="宋体"/>
                <w:sz w:val="28"/>
                <w:szCs w:val="28"/>
              </w:rPr>
              <w:t>〕</w:t>
            </w:r>
            <w:r>
              <w:rPr>
                <w:rFonts w:hint="eastAsia" w:ascii="仿宋_GB2312" w:hAnsi="仿宋_GB2312" w:eastAsia="仿宋_GB2312" w:cs="仿宋_GB2312"/>
                <w:sz w:val="28"/>
                <w:szCs w:val="28"/>
              </w:rPr>
              <w:t>164号)</w:t>
            </w:r>
            <w:r>
              <w:rPr>
                <w:rFonts w:hint="eastAsia" w:ascii="仿宋_GB2312" w:hAnsi="仿宋_GB2312" w:eastAsia="仿宋_GB2312" w:cs="仿宋_GB2312"/>
                <w:sz w:val="28"/>
                <w:szCs w:val="28"/>
                <w:lang w:eastAsia="zh-CN"/>
              </w:rPr>
              <w:t>。</w:t>
            </w:r>
          </w:p>
          <w:p>
            <w:pPr>
              <w:keepNext w:val="0"/>
              <w:keepLines w:val="0"/>
              <w:pageBreakBefore w:val="0"/>
              <w:widowControl w:val="0"/>
              <w:kinsoku/>
              <w:wordWrap/>
              <w:overflowPunct/>
              <w:topLinePunct w:val="0"/>
              <w:autoSpaceDE w:val="0"/>
              <w:autoSpaceDN w:val="0"/>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经审查，现批复如下:</w:t>
            </w:r>
          </w:p>
          <w:p>
            <w:pPr>
              <w:keepNext w:val="0"/>
              <w:keepLines w:val="0"/>
              <w:pageBreakBefore w:val="0"/>
              <w:widowControl w:val="0"/>
              <w:kinsoku/>
              <w:wordWrap/>
              <w:overflowPunct/>
              <w:topLinePunct w:val="0"/>
              <w:autoSpaceDE w:val="0"/>
              <w:autoSpaceDN w:val="0"/>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一、项目符合国家产业政策，符合明光市管店镇工业集中区控制性详细规划，我局原则同意《报告表》中所列建设项目的内容、规模、地点、生产工艺及环境保护措施。</w:t>
            </w:r>
          </w:p>
          <w:p>
            <w:pPr>
              <w:keepNext w:val="0"/>
              <w:keepLines w:val="0"/>
              <w:pageBreakBefore w:val="0"/>
              <w:widowControl w:val="0"/>
              <w:kinsoku/>
              <w:wordWrap/>
              <w:overflowPunct/>
              <w:topLinePunct w:val="0"/>
              <w:autoSpaceDE w:val="0"/>
              <w:autoSpaceDN w:val="0"/>
              <w:bidi w:val="0"/>
              <w:adjustRightInd/>
              <w:snapToGrid/>
              <w:spacing w:line="480" w:lineRule="exact"/>
              <w:ind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二、项目在设计与实施过程中应重点做好以下工作</w:t>
            </w:r>
            <w:r>
              <w:rPr>
                <w:rFonts w:hint="eastAsia" w:ascii="仿宋_GB2312" w:hAnsi="仿宋_GB2312" w:eastAsia="仿宋_GB2312" w:cs="仿宋_GB2312"/>
                <w:sz w:val="28"/>
                <w:szCs w:val="28"/>
                <w:lang w:eastAsia="zh-CN"/>
              </w:rPr>
              <w:t>：</w:t>
            </w:r>
          </w:p>
          <w:p>
            <w:pPr>
              <w:keepNext w:val="0"/>
              <w:keepLines w:val="0"/>
              <w:pageBreakBefore w:val="0"/>
              <w:widowControl w:val="0"/>
              <w:kinsoku/>
              <w:wordWrap/>
              <w:overflowPunct/>
              <w:topLinePunct w:val="0"/>
              <w:autoSpaceDE w:val="0"/>
              <w:autoSpaceDN w:val="0"/>
              <w:bidi w:val="0"/>
              <w:adjustRightInd/>
              <w:snapToGrid/>
              <w:spacing w:line="4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落实《报告表》提出的施工期污染防治措施。应采取施工场地围挡、建筑村料覆盖等措施防治扬尘污染;施工废水沉池处理，不得直接排入地表水体;合理安排施工时间，夜间施工应报主管部门备案;及时清理建筑和生活垃圾，严禁随意丢弃和堆放。采取覆盖降尘、密闭运输等方式杜绝二次污</w:t>
            </w:r>
          </w:p>
          <w:p>
            <w:pPr>
              <w:keepNext w:val="0"/>
              <w:keepLines w:val="0"/>
              <w:pageBreakBefore w:val="0"/>
              <w:widowControl w:val="0"/>
              <w:kinsoku/>
              <w:wordWrap/>
              <w:overflowPunct/>
              <w:topLinePunct w:val="0"/>
              <w:autoSpaceDE w:val="0"/>
              <w:autoSpaceDN w:val="0"/>
              <w:bidi w:val="0"/>
              <w:adjustRightInd/>
              <w:snapToGrid/>
              <w:spacing w:line="480" w:lineRule="exact"/>
              <w:ind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2、落实《报告表》提出的废气污染防治措施。项目须采取仓库封、运输过程全密闭、进出车辆冲洗地面清洗等措施加强粉尘管理;项目水泥罐、粉牒灰罐罐顶呼吸孔粉尘须经布袋除尘器处理后通过1根不低于15m高的排气筒排放;焊接烟尘需经过移动式焊接烟尘净化器净化后排放。以上废气收集装置集气效率及处理效率不得低于《报告表》中设定的要求项目粉尘排放执行《水泥工业大气污染物排放标准》(GB4915-2013)中相关标准，</w:t>
            </w:r>
            <w:r>
              <w:rPr>
                <w:rFonts w:hint="eastAsia" w:ascii="仿宋_GB2312" w:hAnsi="仿宋_GB2312" w:eastAsia="仿宋_GB2312" w:cs="仿宋_GB2312"/>
                <w:sz w:val="28"/>
                <w:szCs w:val="28"/>
                <w:lang w:val="en-US" w:eastAsia="zh-CN"/>
              </w:rPr>
              <w:t>焊</w:t>
            </w:r>
            <w:r>
              <w:rPr>
                <w:rFonts w:hint="eastAsia" w:ascii="仿宋_GB2312" w:hAnsi="仿宋_GB2312" w:eastAsia="仿宋_GB2312" w:cs="仿宋_GB2312"/>
                <w:sz w:val="28"/>
                <w:szCs w:val="28"/>
              </w:rPr>
              <w:t>接烟尘执行《大气污染物综合排放标准》(GB16297-1996)中无组织排放监控浓度限值，根据《报告表》要求，项目需设50m环境防护距离</w:t>
            </w:r>
            <w:r>
              <w:rPr>
                <w:rFonts w:hint="eastAsia" w:ascii="仿宋_GB2312" w:hAnsi="仿宋_GB2312" w:eastAsia="仿宋_GB2312" w:cs="仿宋_GB2312"/>
                <w:sz w:val="28"/>
                <w:szCs w:val="28"/>
                <w:lang w:eastAsia="zh-CN"/>
              </w:rPr>
              <w:t>。</w:t>
            </w:r>
          </w:p>
          <w:p>
            <w:pPr>
              <w:keepNext w:val="0"/>
              <w:keepLines w:val="0"/>
              <w:pageBreakBefore w:val="0"/>
              <w:widowControl w:val="0"/>
              <w:kinsoku/>
              <w:wordWrap/>
              <w:overflowPunct/>
              <w:topLinePunct w:val="0"/>
              <w:autoSpaceDE w:val="0"/>
              <w:autoSpaceDN w:val="0"/>
              <w:bidi w:val="0"/>
              <w:adjustRightInd/>
              <w:snapToGrid/>
              <w:spacing w:line="480" w:lineRule="exact"/>
              <w:ind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3、落实《报告表》提出的废水污染防治措施。项目按“雨污分流”排水体制配套建设雨污管网。项目搅拌机清洗水、运输车辆清洗水、作业区地面冲洗水沉淀池沉淀后回用，不得外排;生活废水经化龚池处理后用作农田灌溉，不得直接排入周边地表水体</w:t>
            </w:r>
            <w:r>
              <w:rPr>
                <w:rFonts w:hint="eastAsia" w:ascii="仿宋_GB2312" w:hAnsi="仿宋_GB2312" w:eastAsia="仿宋_GB2312" w:cs="仿宋_GB2312"/>
                <w:sz w:val="28"/>
                <w:szCs w:val="28"/>
                <w:lang w:eastAsia="zh-CN"/>
              </w:rPr>
              <w:t>。</w:t>
            </w:r>
          </w:p>
          <w:p>
            <w:pPr>
              <w:keepNext w:val="0"/>
              <w:keepLines w:val="0"/>
              <w:pageBreakBefore w:val="0"/>
              <w:widowControl w:val="0"/>
              <w:kinsoku/>
              <w:wordWrap/>
              <w:overflowPunct/>
              <w:topLinePunct w:val="0"/>
              <w:autoSpaceDE w:val="0"/>
              <w:autoSpaceDN w:val="0"/>
              <w:bidi w:val="0"/>
              <w:adjustRightInd/>
              <w:snapToGrid/>
              <w:spacing w:line="480" w:lineRule="exact"/>
              <w:ind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4、落实《报告表》中噪声污染防治措施。采取相应的隔声，震等降噪措施，确保目厂界噪声达标排放。项目厂界噪声须满足《工业企业厂系环境噪声排放标准》(GB12348-2008)中2类区标准要求，施工期噪声须满足《建筑施工场界环境噪声排放标准》(GB12523-2011)排放限值要求</w:t>
            </w:r>
            <w:r>
              <w:rPr>
                <w:rFonts w:hint="eastAsia" w:ascii="仿宋_GB2312" w:hAnsi="仿宋_GB2312" w:eastAsia="仿宋_GB2312" w:cs="仿宋_GB2312"/>
                <w:sz w:val="28"/>
                <w:szCs w:val="28"/>
                <w:lang w:eastAsia="zh-CN"/>
              </w:rPr>
              <w:t>。</w:t>
            </w:r>
          </w:p>
          <w:p>
            <w:pPr>
              <w:keepNext w:val="0"/>
              <w:keepLines w:val="0"/>
              <w:pageBreakBefore w:val="0"/>
              <w:widowControl w:val="0"/>
              <w:kinsoku/>
              <w:wordWrap/>
              <w:overflowPunct/>
              <w:topLinePunct w:val="0"/>
              <w:autoSpaceDE w:val="0"/>
              <w:autoSpaceDN w:val="0"/>
              <w:bidi w:val="0"/>
              <w:adjustRightInd/>
              <w:snapToGrid/>
              <w:spacing w:line="480" w:lineRule="exact"/>
              <w:ind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5、落实《报告表》中固废污染防治措施。按环境卫生管理要求和练合利用的原则处理处置项目产生的各类固体废物，项目布袋除尘器收集的粉尘回用做原料;废包装袋收集后交由物资部门回收利用;生活垃圾交由环卫部门统一清运</w:t>
            </w:r>
            <w:r>
              <w:rPr>
                <w:rFonts w:hint="eastAsia" w:ascii="仿宋_GB2312" w:hAnsi="仿宋_GB2312" w:eastAsia="仿宋_GB2312" w:cs="仿宋_GB2312"/>
                <w:sz w:val="28"/>
                <w:szCs w:val="28"/>
                <w:lang w:eastAsia="zh-CN"/>
              </w:rPr>
              <w:t>。</w:t>
            </w:r>
          </w:p>
          <w:p>
            <w:pPr>
              <w:keepNext w:val="0"/>
              <w:keepLines w:val="0"/>
              <w:pageBreakBefore w:val="0"/>
              <w:widowControl w:val="0"/>
              <w:kinsoku/>
              <w:wordWrap/>
              <w:overflowPunct/>
              <w:topLinePunct w:val="0"/>
              <w:autoSpaceDE w:val="0"/>
              <w:autoSpaceDN w:val="0"/>
              <w:bidi w:val="0"/>
              <w:adjustRightInd/>
              <w:snapToGrid/>
              <w:spacing w:line="480" w:lineRule="exact"/>
              <w:ind w:firstLine="560" w:firstLineChars="200"/>
              <w:textAlignment w:val="auto"/>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val="0"/>
              <w:autoSpaceDN w:val="0"/>
              <w:bidi w:val="0"/>
              <w:adjustRightInd/>
              <w:snapToGrid/>
              <w:spacing w:line="480" w:lineRule="exact"/>
              <w:ind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6、项目污染物排放总量不得超过我局出具的《明光市建设项目主要污染物新增排放容量核定表》中核定的总量指标，即:烟(粉)尘:0.1352吨/年</w:t>
            </w:r>
            <w:r>
              <w:rPr>
                <w:rFonts w:hint="eastAsia" w:ascii="仿宋_GB2312" w:hAnsi="仿宋_GB2312" w:eastAsia="仿宋_GB2312" w:cs="仿宋_GB2312"/>
                <w:sz w:val="28"/>
                <w:szCs w:val="28"/>
                <w:lang w:eastAsia="zh-CN"/>
              </w:rPr>
              <w:t>。</w:t>
            </w:r>
          </w:p>
          <w:p>
            <w:pPr>
              <w:keepNext w:val="0"/>
              <w:keepLines w:val="0"/>
              <w:pageBreakBefore w:val="0"/>
              <w:widowControl w:val="0"/>
              <w:kinsoku/>
              <w:wordWrap/>
              <w:overflowPunct/>
              <w:topLinePunct w:val="0"/>
              <w:autoSpaceDE w:val="0"/>
              <w:autoSpaceDN w:val="0"/>
              <w:bidi w:val="0"/>
              <w:adjustRightInd/>
              <w:snapToGrid/>
              <w:spacing w:line="480" w:lineRule="exact"/>
              <w:ind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三</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项目需配套建设的环境保护设施，必须与主体工程同时设计，同时施工，同时投产用</w:t>
            </w:r>
            <w:r>
              <w:rPr>
                <w:rFonts w:hint="eastAsia" w:ascii="仿宋_GB2312" w:hAnsi="仿宋_GB2312" w:eastAsia="仿宋_GB2312" w:cs="仿宋_GB2312"/>
                <w:sz w:val="28"/>
                <w:szCs w:val="28"/>
                <w:lang w:eastAsia="zh-CN"/>
              </w:rPr>
              <w:t>。</w:t>
            </w:r>
          </w:p>
          <w:p>
            <w:pPr>
              <w:keepNext w:val="0"/>
              <w:keepLines w:val="0"/>
              <w:pageBreakBefore w:val="0"/>
              <w:widowControl w:val="0"/>
              <w:kinsoku/>
              <w:wordWrap/>
              <w:overflowPunct/>
              <w:topLinePunct w:val="0"/>
              <w:autoSpaceDE w:val="0"/>
              <w:autoSpaceDN w:val="0"/>
              <w:bidi w:val="0"/>
              <w:adjustRightInd/>
              <w:snapToGrid/>
              <w:spacing w:line="480" w:lineRule="exact"/>
              <w:ind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1、项目的初步设计应当按照环境保护设计规范的要求，编制环境保护章，落实防治环境污染和生态破坏的措施及环境保护设施投资概算，将环境保护设施纳入施工合同</w:t>
            </w:r>
            <w:r>
              <w:rPr>
                <w:rFonts w:hint="eastAsia" w:ascii="仿宋_GB2312" w:hAnsi="仿宋_GB2312" w:eastAsia="仿宋_GB2312" w:cs="仿宋_GB2312"/>
                <w:sz w:val="28"/>
                <w:szCs w:val="28"/>
                <w:lang w:eastAsia="zh-CN"/>
              </w:rPr>
              <w:t>。</w:t>
            </w:r>
          </w:p>
          <w:p>
            <w:pPr>
              <w:keepNext w:val="0"/>
              <w:keepLines w:val="0"/>
              <w:pageBreakBefore w:val="0"/>
              <w:widowControl w:val="0"/>
              <w:kinsoku/>
              <w:wordWrap/>
              <w:overflowPunct/>
              <w:topLinePunct w:val="0"/>
              <w:autoSpaceDE w:val="0"/>
              <w:autoSpaceDN w:val="0"/>
              <w:bidi w:val="0"/>
              <w:adjustRightInd/>
              <w:snapToGrid w:val="0"/>
              <w:spacing w:line="480" w:lineRule="exact"/>
              <w:ind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2、项目配套建设的环境保护设施须经验收合格，方可投入生产或者使用;未经验收或者验收不合格，不得投入生产或者使用3项目投入生产后适时开展环境影响后评价</w:t>
            </w:r>
            <w:r>
              <w:rPr>
                <w:rFonts w:hint="eastAsia" w:ascii="仿宋_GB2312" w:hAnsi="仿宋_GB2312" w:eastAsia="仿宋_GB2312" w:cs="仿宋_GB2312"/>
                <w:sz w:val="28"/>
                <w:szCs w:val="28"/>
                <w:lang w:eastAsia="zh-CN"/>
              </w:rPr>
              <w:t>。</w:t>
            </w:r>
          </w:p>
          <w:p>
            <w:pPr>
              <w:keepNext w:val="0"/>
              <w:keepLines w:val="0"/>
              <w:pageBreakBefore w:val="0"/>
              <w:widowControl w:val="0"/>
              <w:kinsoku/>
              <w:wordWrap/>
              <w:overflowPunct/>
              <w:topLinePunct w:val="0"/>
              <w:autoSpaceDE w:val="0"/>
              <w:autoSpaceDN w:val="0"/>
              <w:bidi w:val="0"/>
              <w:adjustRightInd/>
              <w:snapToGrid w:val="0"/>
              <w:spacing w:line="480" w:lineRule="exact"/>
              <w:ind w:firstLine="560" w:firstLineChars="200"/>
              <w:textAlignment w:val="auto"/>
              <w:rPr>
                <w:rFonts w:hint="default"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四、</w:t>
            </w:r>
            <w:r>
              <w:rPr>
                <w:rFonts w:hint="default" w:ascii="仿宋_GB2312" w:hAnsi="仿宋_GB2312" w:eastAsia="仿宋_GB2312" w:cs="仿宋_GB2312"/>
                <w:sz w:val="28"/>
                <w:szCs w:val="28"/>
                <w:lang w:val="en-US" w:eastAsia="zh-CN"/>
              </w:rPr>
              <w:t>项目建设及运营期间，由明光市环境监察大队负责该项目环境保护“三同时”制度的日常监督管理工作。</w:t>
            </w:r>
          </w:p>
          <w:p>
            <w:pPr>
              <w:keepNext w:val="0"/>
              <w:keepLines w:val="0"/>
              <w:pageBreakBefore w:val="0"/>
              <w:widowControl w:val="0"/>
              <w:kinsoku/>
              <w:wordWrap/>
              <w:overflowPunct/>
              <w:topLinePunct w:val="0"/>
              <w:autoSpaceDE w:val="0"/>
              <w:autoSpaceDN w:val="0"/>
              <w:bidi w:val="0"/>
              <w:adjustRightInd/>
              <w:snapToGrid w:val="0"/>
              <w:spacing w:line="480" w:lineRule="exact"/>
              <w:ind w:firstLine="560" w:firstLineChars="200"/>
              <w:textAlignment w:val="auto"/>
              <w:rPr>
                <w:rFonts w:hint="default" w:ascii="仿宋_GB2312" w:hAnsi="仿宋_GB2312" w:eastAsia="仿宋_GB2312" w:cs="仿宋_GB2312"/>
                <w:sz w:val="28"/>
                <w:szCs w:val="28"/>
              </w:rPr>
            </w:pPr>
            <w:r>
              <w:rPr>
                <w:rFonts w:hint="default" w:ascii="仿宋_GB2312" w:hAnsi="仿宋_GB2312" w:eastAsia="仿宋_GB2312" w:cs="仿宋_GB2312"/>
                <w:sz w:val="28"/>
                <w:szCs w:val="28"/>
                <w:lang w:val="en-US" w:eastAsia="zh-CN"/>
              </w:rPr>
              <w:t>五、《报告表》批准后，若项目的建设性质、规模、地点、采用的生产工艺或者污染防治措施发生重大变动，你司应严格遵照国家相关法律法规的规定，重新履行审批手续。</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right"/>
              <w:textAlignment w:val="auto"/>
              <w:rPr>
                <w:rFonts w:hint="default" w:ascii="Times New Roman" w:hAnsi="Times New Roman" w:eastAsia="仿宋_GB2312" w:cs="Times New Roman"/>
                <w:color w:val="000000"/>
                <w:kern w:val="0"/>
                <w:sz w:val="28"/>
                <w:szCs w:val="28"/>
                <w:lang w:val="en-US" w:eastAsia="zh-CN" w:bidi="ar"/>
              </w:rPr>
            </w:pPr>
            <w:r>
              <w:rPr>
                <w:rFonts w:hint="default" w:ascii="Times New Roman" w:hAnsi="Times New Roman" w:eastAsia="仿宋_GB2312" w:cs="Times New Roman"/>
                <w:color w:val="000000"/>
                <w:kern w:val="0"/>
                <w:sz w:val="28"/>
                <w:szCs w:val="28"/>
                <w:lang w:val="en-US" w:eastAsia="zh-CN" w:bidi="ar"/>
              </w:rPr>
              <w:t>滁州市明光市生态环境分局</w:t>
            </w:r>
          </w:p>
          <w:p>
            <w:pPr>
              <w:keepNext w:val="0"/>
              <w:keepLines w:val="0"/>
              <w:pageBreakBefore w:val="0"/>
              <w:widowControl/>
              <w:suppressLineNumbers w:val="0"/>
              <w:kinsoku/>
              <w:wordWrap w:val="0"/>
              <w:overflowPunct/>
              <w:topLinePunct w:val="0"/>
              <w:autoSpaceDE/>
              <w:autoSpaceDN/>
              <w:bidi w:val="0"/>
              <w:adjustRightInd/>
              <w:snapToGrid/>
              <w:ind w:firstLine="560" w:firstLineChars="200"/>
              <w:jc w:val="right"/>
              <w:textAlignment w:val="auto"/>
              <w:rPr>
                <w:rFonts w:hint="default"/>
                <w:lang w:val="en-US"/>
              </w:rPr>
            </w:pPr>
            <w:r>
              <w:rPr>
                <w:rFonts w:hint="eastAsia" w:eastAsia="仿宋_GB2312" w:cs="Times New Roman"/>
                <w:color w:val="000000"/>
                <w:kern w:val="0"/>
                <w:sz w:val="28"/>
                <w:szCs w:val="28"/>
                <w:lang w:val="en-US" w:eastAsia="zh-CN" w:bidi="ar"/>
              </w:rPr>
              <w:t>2018年3月2日</w:t>
            </w:r>
          </w:p>
          <w:p>
            <w:pPr>
              <w:keepNext w:val="0"/>
              <w:keepLines w:val="0"/>
              <w:widowControl/>
              <w:suppressLineNumbers w:val="0"/>
              <w:jc w:val="left"/>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firstLine="562" w:firstLineChars="200"/>
              <w:jc w:val="right"/>
              <w:textAlignment w:val="auto"/>
              <w:outlineLvl w:val="9"/>
              <w:rPr>
                <w:rFonts w:hint="eastAsia" w:ascii="仿宋_GB2312" w:hAnsi="仿宋_GB2312" w:eastAsia="仿宋_GB2312" w:cs="仿宋_GB2312"/>
                <w:b/>
                <w:bCs/>
                <w:color w:val="auto"/>
                <w:sz w:val="28"/>
                <w:szCs w:val="28"/>
                <w:vertAlign w:val="baseline"/>
                <w:lang w:eastAsia="zh-CN"/>
              </w:rPr>
            </w:pPr>
          </w:p>
        </w:tc>
      </w:tr>
    </w:tbl>
    <w:p>
      <w:pPr>
        <w:rPr>
          <w:rFonts w:hint="eastAsia" w:ascii="仿宋_GB2312" w:hAnsi="仿宋_GB2312" w:eastAsia="仿宋_GB2312" w:cs="仿宋_GB2312"/>
          <w:b/>
          <w:bCs/>
          <w:color w:val="auto"/>
          <w:sz w:val="28"/>
          <w:szCs w:val="28"/>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4"/>
        <w:keepNext/>
        <w:keepLines/>
        <w:pageBreakBefore w:val="0"/>
        <w:widowControl w:val="0"/>
        <w:kinsoku/>
        <w:wordWrap/>
        <w:overflowPunct/>
        <w:topLinePunct w:val="0"/>
        <w:autoSpaceDE/>
        <w:autoSpaceDN/>
        <w:bidi w:val="0"/>
        <w:adjustRightInd/>
        <w:snapToGrid w:val="0"/>
        <w:spacing w:line="240" w:lineRule="auto"/>
        <w:textAlignment w:val="baseline"/>
        <w:rPr>
          <w:rFonts w:hint="eastAsia"/>
          <w:color w:val="auto"/>
          <w:lang w:eastAsia="zh-CN"/>
        </w:rPr>
      </w:pPr>
      <w:r>
        <w:rPr>
          <w:rFonts w:hint="eastAsia"/>
          <w:color w:val="auto"/>
          <w:lang w:eastAsia="zh-CN"/>
        </w:rPr>
        <w:t>表五</w:t>
      </w:r>
    </w:p>
    <w:tbl>
      <w:tblPr>
        <w:tblStyle w:val="17"/>
        <w:tblW w:w="0" w:type="auto"/>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1369" w:hRule="atLeast"/>
          <w:jc w:val="center"/>
        </w:trPr>
        <w:tc>
          <w:tcPr>
            <w:tcW w:w="9354"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bCs/>
                <w:color w:val="auto"/>
                <w:sz w:val="28"/>
                <w:highlight w:val="none"/>
                <w:lang w:eastAsia="zh-CN"/>
              </w:rPr>
            </w:pPr>
            <w:r>
              <w:rPr>
                <w:rFonts w:hint="eastAsia" w:ascii="仿宋_GB2312" w:hAnsi="仿宋_GB2312" w:eastAsia="仿宋_GB2312" w:cs="仿宋_GB2312"/>
                <w:b/>
                <w:bCs/>
                <w:color w:val="auto"/>
                <w:sz w:val="28"/>
                <w:highlight w:val="none"/>
                <w:lang w:eastAsia="zh-CN"/>
              </w:rPr>
              <w:t>验收监测质量保证及质量控制：</w:t>
            </w:r>
          </w:p>
          <w:p>
            <w:pPr>
              <w:pStyle w:val="5"/>
              <w:keepNext/>
              <w:keepLines/>
              <w:pageBreakBefore w:val="0"/>
              <w:widowControl/>
              <w:kinsoku/>
              <w:wordWrap/>
              <w:overflowPunct/>
              <w:topLinePunct w:val="0"/>
              <w:autoSpaceDE/>
              <w:autoSpaceDN/>
              <w:bidi w:val="0"/>
              <w:adjustRightInd/>
              <w:snapToGrid/>
              <w:spacing w:line="480" w:lineRule="exact"/>
              <w:ind w:left="0" w:leftChars="0" w:right="0" w:rightChars="0" w:firstLine="0" w:firstLineChars="0"/>
              <w:jc w:val="both"/>
              <w:textAlignment w:val="baseline"/>
              <w:outlineLvl w:val="1"/>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监测分析方法</w:t>
            </w:r>
            <w:r>
              <w:rPr>
                <w:rFonts w:hint="eastAsia" w:ascii="仿宋_GB2312" w:hAnsi="仿宋_GB2312" w:eastAsia="仿宋_GB2312" w:cs="仿宋_GB2312"/>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b/>
                <w:bCs/>
                <w:color w:val="auto"/>
                <w:lang w:val="en-US"/>
              </w:rPr>
            </w:pPr>
            <w:r>
              <w:rPr>
                <w:rFonts w:hint="eastAsia" w:ascii="仿宋_GB2312" w:hAnsi="仿宋_GB2312" w:eastAsia="仿宋_GB2312" w:cs="仿宋_GB2312"/>
                <w:b/>
                <w:bCs/>
                <w:color w:val="auto"/>
                <w:sz w:val="28"/>
                <w:szCs w:val="28"/>
                <w:lang w:val="en-US" w:eastAsia="zh-CN"/>
              </w:rPr>
              <w:t xml:space="preserve"> 监测分析方法一览表</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7"/>
              <w:gridCol w:w="1415"/>
              <w:gridCol w:w="4687"/>
              <w:gridCol w:w="12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9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hAnsi="仿宋_GB2312" w:eastAsia="仿宋_GB2312" w:cs="仿宋_GB2312"/>
                      <w:b/>
                      <w:bCs w:val="0"/>
                      <w:color w:val="auto"/>
                      <w:sz w:val="21"/>
                      <w:szCs w:val="21"/>
                    </w:rPr>
                  </w:pPr>
                  <w:r>
                    <w:rPr>
                      <w:rFonts w:hint="eastAsia" w:ascii="仿宋_GB2312" w:hAnsi="仿宋_GB2312" w:eastAsia="仿宋_GB2312" w:cs="仿宋_GB2312"/>
                      <w:b/>
                      <w:bCs w:val="0"/>
                      <w:color w:val="auto"/>
                      <w:sz w:val="21"/>
                      <w:szCs w:val="21"/>
                    </w:rPr>
                    <w:t>类别</w:t>
                  </w:r>
                </w:p>
              </w:tc>
              <w:tc>
                <w:tcPr>
                  <w:tcW w:w="14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hAnsi="仿宋_GB2312" w:eastAsia="仿宋_GB2312" w:cs="仿宋_GB2312"/>
                      <w:b/>
                      <w:bCs w:val="0"/>
                      <w:color w:val="auto"/>
                      <w:sz w:val="21"/>
                      <w:szCs w:val="21"/>
                    </w:rPr>
                  </w:pPr>
                  <w:r>
                    <w:rPr>
                      <w:rFonts w:hint="eastAsia" w:ascii="仿宋_GB2312" w:hAnsi="仿宋_GB2312" w:eastAsia="仿宋_GB2312" w:cs="仿宋_GB2312"/>
                      <w:b/>
                      <w:bCs w:val="0"/>
                      <w:color w:val="auto"/>
                      <w:sz w:val="21"/>
                      <w:szCs w:val="21"/>
                    </w:rPr>
                    <w:t>项目</w:t>
                  </w:r>
                </w:p>
              </w:tc>
              <w:tc>
                <w:tcPr>
                  <w:tcW w:w="46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hAnsi="仿宋_GB2312" w:eastAsia="仿宋_GB2312" w:cs="仿宋_GB2312"/>
                      <w:b/>
                      <w:bCs w:val="0"/>
                      <w:color w:val="auto"/>
                      <w:sz w:val="21"/>
                      <w:szCs w:val="21"/>
                    </w:rPr>
                  </w:pPr>
                  <w:r>
                    <w:rPr>
                      <w:rFonts w:hint="eastAsia" w:ascii="仿宋_GB2312" w:hAnsi="仿宋_GB2312" w:eastAsia="仿宋_GB2312" w:cs="仿宋_GB2312"/>
                      <w:b/>
                      <w:bCs w:val="0"/>
                      <w:color w:val="auto"/>
                      <w:sz w:val="21"/>
                      <w:szCs w:val="21"/>
                    </w:rPr>
                    <w:t>分析标准</w:t>
                  </w:r>
                </w:p>
              </w:tc>
              <w:tc>
                <w:tcPr>
                  <w:tcW w:w="12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hAnsi="仿宋_GB2312" w:eastAsia="仿宋_GB2312" w:cs="仿宋_GB2312"/>
                      <w:b/>
                      <w:bCs w:val="0"/>
                      <w:color w:val="auto"/>
                      <w:sz w:val="21"/>
                      <w:szCs w:val="21"/>
                      <w:lang w:eastAsia="zh-CN"/>
                    </w:rPr>
                  </w:pPr>
                  <w:r>
                    <w:rPr>
                      <w:rFonts w:hint="eastAsia" w:ascii="仿宋_GB2312" w:hAnsi="仿宋_GB2312" w:eastAsia="仿宋_GB2312" w:cs="仿宋_GB2312"/>
                      <w:b/>
                      <w:bCs w:val="0"/>
                      <w:color w:val="auto"/>
                      <w:sz w:val="21"/>
                      <w:szCs w:val="21"/>
                      <w:lang w:eastAsia="zh-CN"/>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957" w:type="dxa"/>
                  <w:tcBorders>
                    <w:tl2br w:val="nil"/>
                    <w:tr2bl w:val="nil"/>
                  </w:tcBorders>
                  <w:noWrap w:val="0"/>
                  <w:vAlign w:val="center"/>
                </w:tcPr>
                <w:p>
                  <w:pPr>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无组织</w:t>
                  </w:r>
                </w:p>
                <w:p>
                  <w:pPr>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废气</w:t>
                  </w:r>
                </w:p>
              </w:tc>
              <w:tc>
                <w:tcPr>
                  <w:tcW w:w="1415" w:type="dxa"/>
                  <w:tcBorders>
                    <w:tl2br w:val="nil"/>
                    <w:tr2bl w:val="nil"/>
                  </w:tcBorders>
                  <w:noWrap w:val="0"/>
                  <w:vAlign w:val="center"/>
                </w:tcPr>
                <w:p>
                  <w:pPr>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颗粒物</w:t>
                  </w:r>
                </w:p>
              </w:tc>
              <w:tc>
                <w:tcPr>
                  <w:tcW w:w="4688" w:type="dxa"/>
                  <w:tcBorders>
                    <w:tl2br w:val="nil"/>
                    <w:tr2bl w:val="nil"/>
                  </w:tcBorders>
                  <w:noWrap w:val="0"/>
                  <w:vAlign w:val="center"/>
                </w:tcPr>
                <w:p>
                  <w:pPr>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 xml:space="preserve">环境空气 总悬浮颗粒物的测定 </w:t>
                  </w:r>
                </w:p>
                <w:p>
                  <w:pPr>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重量法 GB/T15432-1995及修改单</w:t>
                  </w:r>
                </w:p>
              </w:tc>
              <w:tc>
                <w:tcPr>
                  <w:tcW w:w="1246" w:type="dxa"/>
                  <w:tcBorders>
                    <w:tl2br w:val="nil"/>
                    <w:tr2bl w:val="nil"/>
                  </w:tcBorders>
                  <w:noWrap w:val="0"/>
                  <w:vAlign w:val="center"/>
                </w:tcPr>
                <w:p>
                  <w:pPr>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0.001mg/m</w:t>
                  </w:r>
                  <w:r>
                    <w:rPr>
                      <w:rFonts w:hint="default" w:ascii="Times New Roman" w:hAnsi="Times New Roman" w:eastAsia="仿宋_GB2312" w:cs="Times New Roman"/>
                      <w:color w:val="auto"/>
                      <w:sz w:val="21"/>
                      <w:szCs w:val="21"/>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957" w:type="dxa"/>
                  <w:noWrap w:val="0"/>
                  <w:vAlign w:val="center"/>
                </w:tcPr>
                <w:p>
                  <w:pPr>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噪声</w:t>
                  </w:r>
                </w:p>
              </w:tc>
              <w:tc>
                <w:tcPr>
                  <w:tcW w:w="1415" w:type="dxa"/>
                  <w:noWrap w:val="0"/>
                  <w:vAlign w:val="center"/>
                </w:tcPr>
                <w:p>
                  <w:pPr>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厂界噪声</w:t>
                  </w:r>
                </w:p>
              </w:tc>
              <w:tc>
                <w:tcPr>
                  <w:tcW w:w="4688" w:type="dxa"/>
                  <w:noWrap w:val="0"/>
                  <w:vAlign w:val="center"/>
                </w:tcPr>
                <w:p>
                  <w:pPr>
                    <w:jc w:val="center"/>
                    <w:rPr>
                      <w:rFonts w:hint="default" w:ascii="Times New Roman" w:hAnsi="Times New Roman" w:eastAsia="仿宋_GB2312" w:cs="Times New Roman"/>
                      <w:bCs/>
                      <w:color w:val="auto"/>
                      <w:kern w:val="2"/>
                      <w:sz w:val="21"/>
                      <w:szCs w:val="21"/>
                      <w:lang w:val="en-US" w:eastAsia="zh-CN" w:bidi="ar-SA"/>
                    </w:rPr>
                  </w:pPr>
                  <w:r>
                    <w:rPr>
                      <w:rFonts w:hint="default" w:ascii="Times New Roman" w:hAnsi="Times New Roman" w:eastAsia="仿宋_GB2312" w:cs="Times New Roman"/>
                      <w:bCs/>
                      <w:color w:val="auto"/>
                      <w:sz w:val="21"/>
                      <w:szCs w:val="21"/>
                    </w:rPr>
                    <w:t>工业企业厂界环境噪声排放标准GB12348-2008</w:t>
                  </w:r>
                </w:p>
              </w:tc>
              <w:tc>
                <w:tcPr>
                  <w:tcW w:w="1246" w:type="dxa"/>
                  <w:noWrap w:val="0"/>
                  <w:vAlign w:val="center"/>
                </w:tcPr>
                <w:p>
                  <w:pPr>
                    <w:jc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rPr>
                    <w:t>—</w:t>
                  </w:r>
                </w:p>
              </w:tc>
            </w:tr>
          </w:tbl>
          <w:p>
            <w:pPr>
              <w:pStyle w:val="5"/>
              <w:keepNext/>
              <w:keepLines/>
              <w:pageBreakBefore w:val="0"/>
              <w:widowControl/>
              <w:kinsoku/>
              <w:wordWrap/>
              <w:overflowPunct/>
              <w:topLinePunct w:val="0"/>
              <w:autoSpaceDE/>
              <w:autoSpaceDN/>
              <w:bidi w:val="0"/>
              <w:adjustRightInd w:val="0"/>
              <w:snapToGrid w:val="0"/>
              <w:spacing w:before="318" w:beforeLines="100" w:line="480" w:lineRule="exact"/>
              <w:ind w:left="0" w:leftChars="0" w:right="0" w:rightChars="0" w:firstLine="0" w:firstLineChars="0"/>
              <w:jc w:val="both"/>
              <w:textAlignment w:val="baseline"/>
              <w:outlineLvl w:val="1"/>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人员资质：</w:t>
            </w:r>
          </w:p>
          <w:p>
            <w:pPr>
              <w:keepNext w:val="0"/>
              <w:keepLines w:val="0"/>
              <w:pageBreakBefore w:val="0"/>
              <w:widowControl/>
              <w:kinsoku/>
              <w:wordWrap/>
              <w:overflowPunct/>
              <w:topLinePunct w:val="0"/>
              <w:autoSpaceDE/>
              <w:autoSpaceDN/>
              <w:bidi w:val="0"/>
              <w:adjustRightInd w:val="0"/>
              <w:snapToGrid w:val="0"/>
              <w:spacing w:line="480" w:lineRule="exact"/>
              <w:ind w:right="0" w:rightChars="0" w:firstLine="560" w:firstLineChars="200"/>
              <w:jc w:val="left"/>
              <w:textAlignment w:val="auto"/>
              <w:rPr>
                <w:rFonts w:hint="eastAsia" w:ascii="仿宋_GB2312" w:hAnsi="仿宋_GB2312" w:eastAsia="仿宋_GB2312" w:cs="仿宋_GB2312"/>
                <w:b/>
                <w:color w:val="auto"/>
                <w:sz w:val="28"/>
                <w:szCs w:val="28"/>
              </w:rPr>
            </w:pPr>
            <w:r>
              <w:rPr>
                <w:rFonts w:hint="eastAsia" w:ascii="仿宋_GB2312" w:hAnsi="仿宋_GB2312" w:eastAsia="仿宋_GB2312" w:cs="仿宋_GB2312"/>
                <w:color w:val="auto"/>
                <w:sz w:val="28"/>
                <w:szCs w:val="28"/>
              </w:rPr>
              <w:t>参加竣工验收监测采样和测试的人员，经考核合格并持证上岗。</w:t>
            </w:r>
          </w:p>
          <w:p>
            <w:pPr>
              <w:pStyle w:val="5"/>
              <w:keepNext/>
              <w:keepLines/>
              <w:pageBreakBefore w:val="0"/>
              <w:widowControl/>
              <w:kinsoku/>
              <w:wordWrap/>
              <w:overflowPunct/>
              <w:topLinePunct w:val="0"/>
              <w:autoSpaceDE/>
              <w:autoSpaceDN/>
              <w:bidi w:val="0"/>
              <w:adjustRightInd w:val="0"/>
              <w:snapToGrid w:val="0"/>
              <w:spacing w:before="157" w:beforeLines="50" w:line="480" w:lineRule="exact"/>
              <w:ind w:left="0" w:leftChars="0" w:right="0" w:rightChars="0" w:firstLine="0" w:firstLineChars="0"/>
              <w:jc w:val="both"/>
              <w:textAlignment w:val="baseline"/>
              <w:outlineLvl w:val="1"/>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废气监测分析过程中的质量保证和质量控制：</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无组织</w:t>
            </w:r>
            <w:r>
              <w:rPr>
                <w:rFonts w:hint="default" w:ascii="Times New Roman" w:hAnsi="Times New Roman" w:eastAsia="仿宋_GB2312" w:cs="Times New Roman"/>
                <w:color w:val="auto"/>
                <w:sz w:val="28"/>
                <w:szCs w:val="28"/>
                <w:lang w:eastAsia="zh-CN"/>
              </w:rPr>
              <w:t>排放废气监测按照</w:t>
            </w:r>
            <w:r>
              <w:rPr>
                <w:rFonts w:hint="default" w:ascii="Times New Roman" w:hAnsi="Times New Roman" w:eastAsia="仿宋_GB2312" w:cs="Times New Roman"/>
                <w:color w:val="auto"/>
                <w:sz w:val="28"/>
                <w:szCs w:val="28"/>
                <w:lang w:val="en-US" w:eastAsia="zh-CN"/>
              </w:rPr>
              <w:t>《大气污染物无组织排放监测技术导则》（HJ/T55-2000）进行。</w:t>
            </w:r>
            <w:r>
              <w:rPr>
                <w:rFonts w:hint="eastAsia" w:ascii="仿宋_GB2312" w:hAnsi="仿宋_GB2312" w:eastAsia="仿宋_GB2312" w:cs="仿宋_GB2312"/>
                <w:color w:val="auto"/>
                <w:sz w:val="28"/>
                <w:szCs w:val="28"/>
              </w:rPr>
              <w:t>尽量避免被测排放物中共存污染物因子对仪器分析的交叉干扰；对采样仪器的流量计定期进行校准。</w:t>
            </w:r>
          </w:p>
          <w:p>
            <w:pPr>
              <w:jc w:val="center"/>
              <w:rPr>
                <w:rFonts w:hint="eastAsia"/>
                <w:b/>
                <w:color w:val="auto"/>
                <w:sz w:val="24"/>
              </w:rPr>
            </w:pPr>
            <w:r>
              <w:rPr>
                <w:rFonts w:hint="eastAsia" w:ascii="仿宋_GB2312" w:hAnsi="仿宋_GB2312" w:eastAsia="仿宋_GB2312" w:cs="仿宋_GB2312"/>
                <w:b/>
                <w:color w:val="auto"/>
                <w:sz w:val="28"/>
                <w:szCs w:val="28"/>
              </w:rPr>
              <w:t>现场监测质控措施一览表</w:t>
            </w:r>
          </w:p>
          <w:tbl>
            <w:tblPr>
              <w:tblStyle w:val="16"/>
              <w:tblW w:w="4998" w:type="pct"/>
              <w:jc w:val="center"/>
              <w:tblBorders>
                <w:top w:val="thinThickSmallGap" w:color="000000" w:sz="12" w:space="0"/>
                <w:left w:val="none" w:color="auto" w:sz="0" w:space="0"/>
                <w:bottom w:val="thickThinSmallGap" w:color="000000" w:sz="12" w:space="0"/>
                <w:right w:val="none" w:color="auto" w:sz="0" w:space="0"/>
                <w:insideH w:val="single" w:color="000000" w:sz="4" w:space="0"/>
                <w:insideV w:val="single" w:color="000000" w:sz="2" w:space="0"/>
              </w:tblBorders>
              <w:tblLayout w:type="autofit"/>
              <w:tblCellMar>
                <w:top w:w="0" w:type="dxa"/>
                <w:left w:w="108" w:type="dxa"/>
                <w:bottom w:w="0" w:type="dxa"/>
                <w:right w:w="108" w:type="dxa"/>
              </w:tblCellMar>
            </w:tblPr>
            <w:tblGrid>
              <w:gridCol w:w="690"/>
              <w:gridCol w:w="1953"/>
              <w:gridCol w:w="1377"/>
              <w:gridCol w:w="1481"/>
              <w:gridCol w:w="1498"/>
              <w:gridCol w:w="1304"/>
            </w:tblGrid>
            <w:tr>
              <w:tblPrEx>
                <w:tblBorders>
                  <w:top w:val="thinThickSmallGap" w:color="000000" w:sz="12" w:space="0"/>
                  <w:left w:val="none" w:color="auto" w:sz="0" w:space="0"/>
                  <w:bottom w:val="thickThinSmallGap"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608" w:hRule="atLeast"/>
                <w:jc w:val="center"/>
              </w:trPr>
              <w:tc>
                <w:tcPr>
                  <w:tcW w:w="416" w:type="pct"/>
                  <w:noWrap w:val="0"/>
                  <w:vAlign w:val="center"/>
                </w:tcPr>
                <w:p>
                  <w:pPr>
                    <w:spacing w:line="0" w:lineRule="atLeast"/>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项目名称</w:t>
                  </w:r>
                </w:p>
              </w:tc>
              <w:tc>
                <w:tcPr>
                  <w:tcW w:w="4583" w:type="pct"/>
                  <w:gridSpan w:val="5"/>
                  <w:noWrap w:val="0"/>
                  <w:vAlign w:val="center"/>
                </w:tcPr>
                <w:p>
                  <w:pPr>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eastAsia="zh-CN"/>
                    </w:rPr>
                    <w:t>年产30万立方预拌砂浆、商品混凝土、15万立方PC预制构件项目检测</w:t>
                  </w:r>
                </w:p>
              </w:tc>
            </w:tr>
            <w:tr>
              <w:tblPrEx>
                <w:tblBorders>
                  <w:top w:val="thinThickSmallGap" w:color="000000" w:sz="12" w:space="0"/>
                  <w:left w:val="none" w:color="auto" w:sz="0" w:space="0"/>
                  <w:bottom w:val="thickThinSmallGap"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608" w:hRule="atLeast"/>
                <w:jc w:val="center"/>
              </w:trPr>
              <w:tc>
                <w:tcPr>
                  <w:tcW w:w="416" w:type="pct"/>
                  <w:noWrap w:val="0"/>
                  <w:vAlign w:val="center"/>
                </w:tcPr>
                <w:p>
                  <w:pPr>
                    <w:spacing w:line="0" w:lineRule="atLeast"/>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监测日期</w:t>
                  </w:r>
                </w:p>
              </w:tc>
              <w:tc>
                <w:tcPr>
                  <w:tcW w:w="4583" w:type="pct"/>
                  <w:gridSpan w:val="5"/>
                  <w:noWrap w:val="0"/>
                  <w:vAlign w:val="center"/>
                </w:tcPr>
                <w:p>
                  <w:pPr>
                    <w:spacing w:line="0" w:lineRule="atLeast"/>
                    <w:jc w:val="left"/>
                    <w:rPr>
                      <w:rFonts w:hint="default" w:ascii="Times New Roman" w:hAnsi="Times New Roman" w:eastAsia="仿宋_GB2312" w:cs="Times New Roman"/>
                      <w:bCs/>
                      <w:color w:val="auto"/>
                      <w:sz w:val="21"/>
                      <w:szCs w:val="21"/>
                      <w:lang w:val="en-US" w:eastAsia="zh-CN"/>
                    </w:rPr>
                  </w:pPr>
                  <w:r>
                    <w:rPr>
                      <w:rFonts w:hint="default" w:ascii="Times New Roman" w:hAnsi="Times New Roman" w:eastAsia="仿宋_GB2312" w:cs="Times New Roman"/>
                      <w:bCs/>
                      <w:color w:val="auto"/>
                      <w:sz w:val="21"/>
                      <w:szCs w:val="21"/>
                      <w:lang w:val="en-US" w:eastAsia="zh-CN"/>
                    </w:rPr>
                    <w:t>2021.5.26~27</w:t>
                  </w:r>
                </w:p>
              </w:tc>
            </w:tr>
            <w:tr>
              <w:tblPrEx>
                <w:tblBorders>
                  <w:top w:val="thinThickSmallGap" w:color="000000" w:sz="12" w:space="0"/>
                  <w:left w:val="none" w:color="auto" w:sz="0" w:space="0"/>
                  <w:bottom w:val="thickThinSmallGap"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608" w:hRule="atLeast"/>
                <w:jc w:val="center"/>
              </w:trPr>
              <w:tc>
                <w:tcPr>
                  <w:tcW w:w="416" w:type="pct"/>
                  <w:vMerge w:val="restart"/>
                  <w:noWrap w:val="0"/>
                  <w:vAlign w:val="center"/>
                </w:tcPr>
                <w:p>
                  <w:pPr>
                    <w:spacing w:line="0" w:lineRule="atLeast"/>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监测</w:t>
                  </w:r>
                </w:p>
                <w:p>
                  <w:pPr>
                    <w:spacing w:line="0" w:lineRule="atLeast"/>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仪器</w:t>
                  </w:r>
                </w:p>
              </w:tc>
              <w:tc>
                <w:tcPr>
                  <w:tcW w:w="1176" w:type="pct"/>
                  <w:noWrap w:val="0"/>
                  <w:vAlign w:val="center"/>
                </w:tcPr>
                <w:p>
                  <w:pPr>
                    <w:spacing w:line="0" w:lineRule="atLeast"/>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仪器名称</w:t>
                  </w:r>
                </w:p>
              </w:tc>
              <w:tc>
                <w:tcPr>
                  <w:tcW w:w="829" w:type="pct"/>
                  <w:noWrap w:val="0"/>
                  <w:vAlign w:val="center"/>
                </w:tcPr>
                <w:p>
                  <w:pPr>
                    <w:spacing w:line="0" w:lineRule="atLeast"/>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仪器型号</w:t>
                  </w:r>
                </w:p>
              </w:tc>
              <w:tc>
                <w:tcPr>
                  <w:tcW w:w="891" w:type="pct"/>
                  <w:noWrap w:val="0"/>
                  <w:vAlign w:val="center"/>
                </w:tcPr>
                <w:p>
                  <w:pPr>
                    <w:spacing w:line="0" w:lineRule="atLeast"/>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仪器编号</w:t>
                  </w:r>
                </w:p>
              </w:tc>
              <w:tc>
                <w:tcPr>
                  <w:tcW w:w="902" w:type="pct"/>
                  <w:noWrap w:val="0"/>
                  <w:vAlign w:val="center"/>
                </w:tcPr>
                <w:p>
                  <w:pPr>
                    <w:spacing w:line="0" w:lineRule="atLeast"/>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仪器检定</w:t>
                  </w:r>
                </w:p>
                <w:p>
                  <w:pPr>
                    <w:spacing w:line="0" w:lineRule="atLeast"/>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有效期</w:t>
                  </w:r>
                </w:p>
              </w:tc>
              <w:tc>
                <w:tcPr>
                  <w:tcW w:w="784" w:type="pct"/>
                  <w:noWrap w:val="0"/>
                  <w:vAlign w:val="center"/>
                </w:tcPr>
                <w:p>
                  <w:pPr>
                    <w:spacing w:line="0" w:lineRule="atLeast"/>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检查情况</w:t>
                  </w:r>
                </w:p>
              </w:tc>
            </w:tr>
            <w:tr>
              <w:tblPrEx>
                <w:tblBorders>
                  <w:top w:val="thinThickSmallGap" w:color="000000" w:sz="12" w:space="0"/>
                  <w:left w:val="none" w:color="auto" w:sz="0" w:space="0"/>
                  <w:bottom w:val="thickThinSmallGap"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837" w:hRule="exact"/>
                <w:jc w:val="center"/>
              </w:trPr>
              <w:tc>
                <w:tcPr>
                  <w:tcW w:w="416" w:type="pct"/>
                  <w:vMerge w:val="continue"/>
                  <w:noWrap w:val="0"/>
                  <w:vAlign w:val="center"/>
                </w:tcPr>
                <w:p>
                  <w:pPr>
                    <w:spacing w:line="0" w:lineRule="atLeast"/>
                    <w:jc w:val="center"/>
                    <w:rPr>
                      <w:rFonts w:hint="default" w:ascii="Times New Roman" w:hAnsi="Times New Roman" w:eastAsia="仿宋_GB2312" w:cs="Times New Roman"/>
                      <w:color w:val="auto"/>
                      <w:sz w:val="21"/>
                      <w:szCs w:val="21"/>
                    </w:rPr>
                  </w:pPr>
                </w:p>
              </w:tc>
              <w:tc>
                <w:tcPr>
                  <w:tcW w:w="1176" w:type="pct"/>
                  <w:noWrap w:val="0"/>
                  <w:vAlign w:val="center"/>
                </w:tcPr>
                <w:p>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环境空气颗粒物综合采样器</w:t>
                  </w:r>
                </w:p>
              </w:tc>
              <w:tc>
                <w:tcPr>
                  <w:tcW w:w="829" w:type="pct"/>
                  <w:noWrap w:val="0"/>
                  <w:vAlign w:val="center"/>
                </w:tcPr>
                <w:p>
                  <w:pPr>
                    <w:jc w:val="center"/>
                    <w:rPr>
                      <w:rFonts w:hint="default" w:ascii="Times New Roman" w:hAnsi="Times New Roman" w:eastAsia="仿宋_GB2312" w:cs="Times New Roman"/>
                      <w:b w:val="0"/>
                      <w:bCs/>
                      <w:color w:val="auto"/>
                      <w:sz w:val="21"/>
                      <w:szCs w:val="21"/>
                      <w:lang w:eastAsia="zh-CN"/>
                    </w:rPr>
                  </w:pPr>
                  <w:r>
                    <w:rPr>
                      <w:rFonts w:hint="default" w:ascii="Times New Roman" w:hAnsi="Times New Roman" w:eastAsia="仿宋_GB2312" w:cs="Times New Roman"/>
                      <w:b w:val="0"/>
                      <w:bCs/>
                      <w:color w:val="auto"/>
                      <w:sz w:val="21"/>
                      <w:szCs w:val="21"/>
                    </w:rPr>
                    <w:t>ZR-</w:t>
                  </w:r>
                  <w:r>
                    <w:rPr>
                      <w:rFonts w:hint="default" w:ascii="Times New Roman" w:hAnsi="Times New Roman" w:eastAsia="仿宋_GB2312" w:cs="Times New Roman"/>
                      <w:b w:val="0"/>
                      <w:bCs/>
                      <w:color w:val="auto"/>
                      <w:sz w:val="21"/>
                      <w:szCs w:val="21"/>
                      <w:lang w:eastAsia="zh-CN"/>
                    </w:rPr>
                    <w:t>3920型</w:t>
                  </w:r>
                </w:p>
              </w:tc>
              <w:tc>
                <w:tcPr>
                  <w:tcW w:w="891" w:type="pct"/>
                  <w:noWrap w:val="0"/>
                  <w:vAlign w:val="center"/>
                </w:tcPr>
                <w:p>
                  <w:pPr>
                    <w:spacing w:line="400" w:lineRule="exact"/>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rPr>
                    <w:t>392017082770</w:t>
                  </w:r>
                </w:p>
              </w:tc>
              <w:tc>
                <w:tcPr>
                  <w:tcW w:w="902" w:type="pct"/>
                  <w:noWrap w:val="0"/>
                  <w:vAlign w:val="center"/>
                </w:tcPr>
                <w:p>
                  <w:pPr>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2022.01.15</w:t>
                  </w:r>
                </w:p>
              </w:tc>
              <w:tc>
                <w:tcPr>
                  <w:tcW w:w="784" w:type="pct"/>
                  <w:noWrap w:val="0"/>
                  <w:vAlign w:val="center"/>
                </w:tcPr>
                <w:p>
                  <w:pPr>
                    <w:spacing w:line="0" w:lineRule="atLeast"/>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用流量计</w:t>
                  </w:r>
                </w:p>
                <w:p>
                  <w:pPr>
                    <w:spacing w:line="0" w:lineRule="atLeast"/>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进行校准</w:t>
                  </w:r>
                </w:p>
              </w:tc>
            </w:tr>
            <w:tr>
              <w:tblPrEx>
                <w:tblBorders>
                  <w:top w:val="thinThickSmallGap" w:color="000000" w:sz="12" w:space="0"/>
                  <w:left w:val="none" w:color="auto" w:sz="0" w:space="0"/>
                  <w:bottom w:val="thickThinSmallGap" w:color="000000" w:sz="12" w:space="0"/>
                  <w:right w:val="none" w:color="auto" w:sz="0" w:space="0"/>
                  <w:insideH w:val="single" w:color="000000" w:sz="4" w:space="0"/>
                  <w:insideV w:val="single" w:color="000000" w:sz="2" w:space="0"/>
                </w:tblBorders>
              </w:tblPrEx>
              <w:trPr>
                <w:trHeight w:val="837" w:hRule="exact"/>
                <w:jc w:val="center"/>
              </w:trPr>
              <w:tc>
                <w:tcPr>
                  <w:tcW w:w="416" w:type="pct"/>
                  <w:vMerge w:val="continue"/>
                  <w:noWrap w:val="0"/>
                  <w:vAlign w:val="center"/>
                </w:tcPr>
                <w:p>
                  <w:pPr>
                    <w:spacing w:line="0" w:lineRule="atLeast"/>
                    <w:jc w:val="center"/>
                    <w:rPr>
                      <w:rFonts w:hint="default" w:ascii="Times New Roman" w:hAnsi="Times New Roman" w:eastAsia="仿宋_GB2312" w:cs="Times New Roman"/>
                      <w:color w:val="auto"/>
                      <w:sz w:val="21"/>
                      <w:szCs w:val="21"/>
                    </w:rPr>
                  </w:pPr>
                </w:p>
              </w:tc>
              <w:tc>
                <w:tcPr>
                  <w:tcW w:w="1176" w:type="pct"/>
                  <w:noWrap w:val="0"/>
                  <w:vAlign w:val="center"/>
                </w:tcPr>
                <w:p>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环境空气颗粒物综合采样器</w:t>
                  </w:r>
                </w:p>
              </w:tc>
              <w:tc>
                <w:tcPr>
                  <w:tcW w:w="829" w:type="pct"/>
                  <w:noWrap w:val="0"/>
                  <w:vAlign w:val="center"/>
                </w:tcPr>
                <w:p>
                  <w:pPr>
                    <w:jc w:val="center"/>
                    <w:rPr>
                      <w:rFonts w:hint="default" w:ascii="Times New Roman" w:hAnsi="Times New Roman" w:eastAsia="仿宋_GB2312" w:cs="Times New Roman"/>
                      <w:b w:val="0"/>
                      <w:bCs/>
                      <w:color w:val="auto"/>
                      <w:sz w:val="21"/>
                      <w:szCs w:val="21"/>
                      <w:lang w:eastAsia="zh-CN"/>
                    </w:rPr>
                  </w:pPr>
                  <w:r>
                    <w:rPr>
                      <w:rFonts w:hint="default" w:ascii="Times New Roman" w:hAnsi="Times New Roman" w:eastAsia="仿宋_GB2312" w:cs="Times New Roman"/>
                      <w:b w:val="0"/>
                      <w:bCs/>
                      <w:color w:val="auto"/>
                      <w:sz w:val="21"/>
                      <w:szCs w:val="21"/>
                    </w:rPr>
                    <w:t>ZR-</w:t>
                  </w:r>
                  <w:r>
                    <w:rPr>
                      <w:rFonts w:hint="default" w:ascii="Times New Roman" w:hAnsi="Times New Roman" w:eastAsia="仿宋_GB2312" w:cs="Times New Roman"/>
                      <w:b w:val="0"/>
                      <w:bCs/>
                      <w:color w:val="auto"/>
                      <w:sz w:val="21"/>
                      <w:szCs w:val="21"/>
                      <w:lang w:eastAsia="zh-CN"/>
                    </w:rPr>
                    <w:t>3920型</w:t>
                  </w:r>
                </w:p>
              </w:tc>
              <w:tc>
                <w:tcPr>
                  <w:tcW w:w="891" w:type="pct"/>
                  <w:noWrap w:val="0"/>
                  <w:vAlign w:val="center"/>
                </w:tcPr>
                <w:p>
                  <w:pPr>
                    <w:spacing w:line="400" w:lineRule="exact"/>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rPr>
                    <w:t>392017082835</w:t>
                  </w:r>
                </w:p>
              </w:tc>
              <w:tc>
                <w:tcPr>
                  <w:tcW w:w="902" w:type="pct"/>
                  <w:noWrap w:val="0"/>
                  <w:vAlign w:val="center"/>
                </w:tcPr>
                <w:p>
                  <w:pPr>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2022.02.09</w:t>
                  </w:r>
                </w:p>
              </w:tc>
              <w:tc>
                <w:tcPr>
                  <w:tcW w:w="784" w:type="pct"/>
                  <w:noWrap w:val="0"/>
                  <w:vAlign w:val="center"/>
                </w:tcPr>
                <w:p>
                  <w:pPr>
                    <w:spacing w:line="0" w:lineRule="atLeast"/>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用流量计</w:t>
                  </w:r>
                </w:p>
                <w:p>
                  <w:pPr>
                    <w:spacing w:line="0" w:lineRule="atLeast"/>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进行校准</w:t>
                  </w:r>
                </w:p>
              </w:tc>
            </w:tr>
            <w:tr>
              <w:tblPrEx>
                <w:tblBorders>
                  <w:top w:val="thinThickSmallGap" w:color="000000" w:sz="12" w:space="0"/>
                  <w:left w:val="none" w:color="auto" w:sz="0" w:space="0"/>
                  <w:bottom w:val="thickThinSmallGap"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837" w:hRule="exact"/>
                <w:jc w:val="center"/>
              </w:trPr>
              <w:tc>
                <w:tcPr>
                  <w:tcW w:w="416" w:type="pct"/>
                  <w:vMerge w:val="continue"/>
                  <w:noWrap w:val="0"/>
                  <w:vAlign w:val="center"/>
                </w:tcPr>
                <w:p>
                  <w:pPr>
                    <w:spacing w:line="0" w:lineRule="atLeast"/>
                    <w:jc w:val="center"/>
                    <w:rPr>
                      <w:rFonts w:hint="default" w:ascii="Times New Roman" w:hAnsi="Times New Roman" w:eastAsia="仿宋_GB2312" w:cs="Times New Roman"/>
                      <w:color w:val="auto"/>
                      <w:sz w:val="21"/>
                      <w:szCs w:val="21"/>
                    </w:rPr>
                  </w:pPr>
                </w:p>
              </w:tc>
              <w:tc>
                <w:tcPr>
                  <w:tcW w:w="1176" w:type="pct"/>
                  <w:noWrap w:val="0"/>
                  <w:vAlign w:val="center"/>
                </w:tcPr>
                <w:p>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环境空气颗粒物综合采样器</w:t>
                  </w:r>
                </w:p>
              </w:tc>
              <w:tc>
                <w:tcPr>
                  <w:tcW w:w="829" w:type="pct"/>
                  <w:noWrap w:val="0"/>
                  <w:vAlign w:val="center"/>
                </w:tcPr>
                <w:p>
                  <w:pPr>
                    <w:jc w:val="center"/>
                    <w:rPr>
                      <w:rFonts w:hint="default" w:ascii="Times New Roman" w:hAnsi="Times New Roman" w:eastAsia="仿宋_GB2312" w:cs="Times New Roman"/>
                      <w:b w:val="0"/>
                      <w:bCs/>
                      <w:color w:val="auto"/>
                      <w:sz w:val="21"/>
                      <w:szCs w:val="21"/>
                      <w:lang w:eastAsia="zh-CN"/>
                    </w:rPr>
                  </w:pPr>
                  <w:r>
                    <w:rPr>
                      <w:rFonts w:hint="default" w:ascii="Times New Roman" w:hAnsi="Times New Roman" w:eastAsia="仿宋_GB2312" w:cs="Times New Roman"/>
                      <w:b w:val="0"/>
                      <w:bCs/>
                      <w:color w:val="auto"/>
                      <w:sz w:val="21"/>
                      <w:szCs w:val="21"/>
                    </w:rPr>
                    <w:t>ZR-</w:t>
                  </w:r>
                  <w:r>
                    <w:rPr>
                      <w:rFonts w:hint="default" w:ascii="Times New Roman" w:hAnsi="Times New Roman" w:eastAsia="仿宋_GB2312" w:cs="Times New Roman"/>
                      <w:b w:val="0"/>
                      <w:bCs/>
                      <w:color w:val="auto"/>
                      <w:sz w:val="21"/>
                      <w:szCs w:val="21"/>
                      <w:lang w:eastAsia="zh-CN"/>
                    </w:rPr>
                    <w:t>3920型</w:t>
                  </w:r>
                </w:p>
              </w:tc>
              <w:tc>
                <w:tcPr>
                  <w:tcW w:w="891" w:type="pct"/>
                  <w:noWrap w:val="0"/>
                  <w:vAlign w:val="center"/>
                </w:tcPr>
                <w:p>
                  <w:pPr>
                    <w:spacing w:line="400" w:lineRule="exact"/>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rPr>
                    <w:t>392017082699</w:t>
                  </w:r>
                </w:p>
              </w:tc>
              <w:tc>
                <w:tcPr>
                  <w:tcW w:w="902" w:type="pct"/>
                  <w:noWrap w:val="0"/>
                  <w:vAlign w:val="center"/>
                </w:tcPr>
                <w:p>
                  <w:pPr>
                    <w:spacing w:line="400" w:lineRule="exact"/>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2022.02.09</w:t>
                  </w:r>
                </w:p>
              </w:tc>
              <w:tc>
                <w:tcPr>
                  <w:tcW w:w="784" w:type="pct"/>
                  <w:noWrap w:val="0"/>
                  <w:vAlign w:val="center"/>
                </w:tcPr>
                <w:p>
                  <w:pPr>
                    <w:spacing w:line="0" w:lineRule="atLeast"/>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用流量计</w:t>
                  </w:r>
                </w:p>
                <w:p>
                  <w:pPr>
                    <w:spacing w:line="0" w:lineRule="atLeast"/>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进行校准</w:t>
                  </w:r>
                </w:p>
              </w:tc>
            </w:tr>
            <w:tr>
              <w:tblPrEx>
                <w:tblBorders>
                  <w:top w:val="thinThickSmallGap" w:color="000000" w:sz="12" w:space="0"/>
                  <w:left w:val="none" w:color="auto" w:sz="0" w:space="0"/>
                  <w:bottom w:val="thickThinSmallGap" w:color="000000" w:sz="12" w:space="0"/>
                  <w:right w:val="none" w:color="auto" w:sz="0" w:space="0"/>
                  <w:insideH w:val="single" w:color="000000" w:sz="4" w:space="0"/>
                  <w:insideV w:val="single" w:color="000000" w:sz="2" w:space="0"/>
                </w:tblBorders>
              </w:tblPrEx>
              <w:trPr>
                <w:trHeight w:val="837" w:hRule="exact"/>
                <w:jc w:val="center"/>
              </w:trPr>
              <w:tc>
                <w:tcPr>
                  <w:tcW w:w="416" w:type="pct"/>
                  <w:vMerge w:val="continue"/>
                  <w:noWrap w:val="0"/>
                  <w:vAlign w:val="center"/>
                </w:tcPr>
                <w:p>
                  <w:pPr>
                    <w:spacing w:line="0" w:lineRule="atLeast"/>
                    <w:jc w:val="center"/>
                    <w:rPr>
                      <w:rFonts w:hint="default" w:ascii="Times New Roman" w:hAnsi="Times New Roman" w:eastAsia="仿宋_GB2312" w:cs="Times New Roman"/>
                      <w:color w:val="auto"/>
                      <w:sz w:val="21"/>
                      <w:szCs w:val="21"/>
                    </w:rPr>
                  </w:pPr>
                </w:p>
              </w:tc>
              <w:tc>
                <w:tcPr>
                  <w:tcW w:w="1176" w:type="pct"/>
                  <w:noWrap w:val="0"/>
                  <w:vAlign w:val="center"/>
                </w:tcPr>
                <w:p>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环境空气颗粒物综合采样器</w:t>
                  </w:r>
                </w:p>
              </w:tc>
              <w:tc>
                <w:tcPr>
                  <w:tcW w:w="829" w:type="pct"/>
                  <w:noWrap w:val="0"/>
                  <w:vAlign w:val="center"/>
                </w:tcPr>
                <w:p>
                  <w:pPr>
                    <w:jc w:val="center"/>
                    <w:rPr>
                      <w:rFonts w:hint="default" w:ascii="Times New Roman" w:hAnsi="Times New Roman" w:eastAsia="仿宋_GB2312" w:cs="Times New Roman"/>
                      <w:b w:val="0"/>
                      <w:bCs/>
                      <w:color w:val="auto"/>
                      <w:sz w:val="21"/>
                      <w:szCs w:val="21"/>
                      <w:lang w:eastAsia="zh-CN"/>
                    </w:rPr>
                  </w:pPr>
                  <w:r>
                    <w:rPr>
                      <w:rFonts w:hint="default" w:ascii="Times New Roman" w:hAnsi="Times New Roman" w:eastAsia="仿宋_GB2312" w:cs="Times New Roman"/>
                      <w:b w:val="0"/>
                      <w:bCs/>
                      <w:color w:val="auto"/>
                      <w:sz w:val="21"/>
                      <w:szCs w:val="21"/>
                    </w:rPr>
                    <w:t>ZR-</w:t>
                  </w:r>
                  <w:r>
                    <w:rPr>
                      <w:rFonts w:hint="default" w:ascii="Times New Roman" w:hAnsi="Times New Roman" w:eastAsia="仿宋_GB2312" w:cs="Times New Roman"/>
                      <w:b w:val="0"/>
                      <w:bCs/>
                      <w:color w:val="auto"/>
                      <w:sz w:val="21"/>
                      <w:szCs w:val="21"/>
                      <w:lang w:eastAsia="zh-CN"/>
                    </w:rPr>
                    <w:t>3920型</w:t>
                  </w:r>
                </w:p>
              </w:tc>
              <w:tc>
                <w:tcPr>
                  <w:tcW w:w="891" w:type="pct"/>
                  <w:noWrap w:val="0"/>
                  <w:vAlign w:val="center"/>
                </w:tcPr>
                <w:p>
                  <w:pPr>
                    <w:spacing w:line="400" w:lineRule="exact"/>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rPr>
                    <w:t>392017082746</w:t>
                  </w:r>
                </w:p>
              </w:tc>
              <w:tc>
                <w:tcPr>
                  <w:tcW w:w="902" w:type="pct"/>
                  <w:noWrap w:val="0"/>
                  <w:vAlign w:val="center"/>
                </w:tcPr>
                <w:p>
                  <w:pPr>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2022.01.15</w:t>
                  </w:r>
                </w:p>
              </w:tc>
              <w:tc>
                <w:tcPr>
                  <w:tcW w:w="784" w:type="pct"/>
                  <w:noWrap w:val="0"/>
                  <w:vAlign w:val="center"/>
                </w:tcPr>
                <w:p>
                  <w:pPr>
                    <w:spacing w:line="0" w:lineRule="atLeast"/>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用流量计进行</w:t>
                  </w:r>
                </w:p>
                <w:p>
                  <w:pPr>
                    <w:spacing w:line="0" w:lineRule="atLeast"/>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校准</w:t>
                  </w:r>
                </w:p>
              </w:tc>
            </w:tr>
            <w:tr>
              <w:tblPrEx>
                <w:tblBorders>
                  <w:top w:val="thinThickSmallGap" w:color="000000" w:sz="12" w:space="0"/>
                  <w:left w:val="none" w:color="auto" w:sz="0" w:space="0"/>
                  <w:bottom w:val="thickThinSmallGap"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771" w:hRule="exact"/>
                <w:jc w:val="center"/>
              </w:trPr>
              <w:tc>
                <w:tcPr>
                  <w:tcW w:w="416" w:type="pct"/>
                  <w:vMerge w:val="continue"/>
                  <w:noWrap w:val="0"/>
                  <w:vAlign w:val="center"/>
                </w:tcPr>
                <w:p>
                  <w:pPr>
                    <w:spacing w:line="0" w:lineRule="atLeast"/>
                    <w:jc w:val="center"/>
                    <w:rPr>
                      <w:rFonts w:hint="default" w:ascii="Times New Roman" w:hAnsi="Times New Roman" w:eastAsia="仿宋_GB2312" w:cs="Times New Roman"/>
                      <w:color w:val="auto"/>
                      <w:sz w:val="21"/>
                      <w:szCs w:val="21"/>
                    </w:rPr>
                  </w:pPr>
                </w:p>
              </w:tc>
              <w:tc>
                <w:tcPr>
                  <w:tcW w:w="1176" w:type="pct"/>
                  <w:noWrap w:val="0"/>
                  <w:vAlign w:val="center"/>
                </w:tcPr>
                <w:p>
                  <w:pPr>
                    <w:spacing w:line="400" w:lineRule="exact"/>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lang w:eastAsia="zh-CN"/>
                    </w:rPr>
                    <w:t>多功能噪声分析仪</w:t>
                  </w:r>
                </w:p>
              </w:tc>
              <w:tc>
                <w:tcPr>
                  <w:tcW w:w="829" w:type="pct"/>
                  <w:noWrap w:val="0"/>
                  <w:vAlign w:val="center"/>
                </w:tcPr>
                <w:p>
                  <w:pPr>
                    <w:widowControl/>
                    <w:jc w:val="center"/>
                    <w:rPr>
                      <w:rFonts w:hint="default" w:ascii="Times New Roman" w:hAnsi="Times New Roman" w:eastAsia="仿宋_GB2312" w:cs="Times New Roman"/>
                      <w:color w:val="auto"/>
                      <w:sz w:val="21"/>
                      <w:szCs w:val="21"/>
                      <w:lang w:val="en-US"/>
                    </w:rPr>
                  </w:pPr>
                  <w:r>
                    <w:rPr>
                      <w:rFonts w:hint="default" w:ascii="Times New Roman" w:hAnsi="Times New Roman" w:eastAsia="仿宋_GB2312" w:cs="Times New Roman"/>
                      <w:color w:val="auto"/>
                      <w:sz w:val="21"/>
                      <w:szCs w:val="21"/>
                      <w:lang w:val="en-US" w:eastAsia="zh-CN"/>
                    </w:rPr>
                    <w:t>AWA5688</w:t>
                  </w:r>
                </w:p>
              </w:tc>
              <w:tc>
                <w:tcPr>
                  <w:tcW w:w="891" w:type="pct"/>
                  <w:noWrap w:val="0"/>
                  <w:vAlign w:val="center"/>
                </w:tcPr>
                <w:p>
                  <w:pPr>
                    <w:widowControl/>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lang w:val="en-US" w:eastAsia="zh-CN"/>
                    </w:rPr>
                    <w:t>00311919</w:t>
                  </w:r>
                </w:p>
              </w:tc>
              <w:tc>
                <w:tcPr>
                  <w:tcW w:w="902" w:type="pct"/>
                  <w:noWrap w:val="0"/>
                  <w:vAlign w:val="center"/>
                </w:tcPr>
                <w:p>
                  <w:pPr>
                    <w:spacing w:line="400" w:lineRule="exact"/>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2022.02.02</w:t>
                  </w:r>
                </w:p>
              </w:tc>
              <w:tc>
                <w:tcPr>
                  <w:tcW w:w="784" w:type="pct"/>
                  <w:noWrap w:val="0"/>
                  <w:vAlign w:val="center"/>
                </w:tcPr>
                <w:p>
                  <w:pPr>
                    <w:spacing w:line="0" w:lineRule="atLeast"/>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用声级校准器进行校准</w:t>
                  </w:r>
                </w:p>
              </w:tc>
            </w:tr>
            <w:tr>
              <w:tblPrEx>
                <w:tblBorders>
                  <w:top w:val="thinThickSmallGap" w:color="000000" w:sz="12" w:space="0"/>
                  <w:left w:val="none" w:color="auto" w:sz="0" w:space="0"/>
                  <w:bottom w:val="thickThinSmallGap"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527" w:hRule="exact"/>
                <w:jc w:val="center"/>
              </w:trPr>
              <w:tc>
                <w:tcPr>
                  <w:tcW w:w="416" w:type="pct"/>
                  <w:vMerge w:val="continue"/>
                  <w:noWrap w:val="0"/>
                  <w:vAlign w:val="center"/>
                </w:tcPr>
                <w:p>
                  <w:pPr>
                    <w:spacing w:line="0" w:lineRule="atLeast"/>
                    <w:jc w:val="center"/>
                    <w:rPr>
                      <w:rFonts w:hint="default" w:ascii="Times New Roman" w:hAnsi="Times New Roman" w:eastAsia="仿宋_GB2312" w:cs="Times New Roman"/>
                      <w:color w:val="auto"/>
                      <w:sz w:val="21"/>
                      <w:szCs w:val="21"/>
                    </w:rPr>
                  </w:pPr>
                </w:p>
              </w:tc>
              <w:tc>
                <w:tcPr>
                  <w:tcW w:w="1176" w:type="pct"/>
                  <w:noWrap w:val="0"/>
                  <w:vAlign w:val="center"/>
                </w:tcPr>
                <w:p>
                  <w:pPr>
                    <w:adjustRightInd w:val="0"/>
                    <w:snapToGrid w:val="0"/>
                    <w:spacing w:line="0" w:lineRule="atLeast"/>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风速仪</w:t>
                  </w:r>
                </w:p>
              </w:tc>
              <w:tc>
                <w:tcPr>
                  <w:tcW w:w="829" w:type="pct"/>
                  <w:noWrap w:val="0"/>
                  <w:vAlign w:val="center"/>
                </w:tcPr>
                <w:p>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405-V1</w:t>
                  </w:r>
                </w:p>
              </w:tc>
              <w:tc>
                <w:tcPr>
                  <w:tcW w:w="891" w:type="pct"/>
                  <w:noWrap w:val="0"/>
                  <w:vAlign w:val="center"/>
                </w:tcPr>
                <w:p>
                  <w:pPr>
                    <w:spacing w:line="400" w:lineRule="exact"/>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lang w:val="en-US" w:eastAsia="zh-CN"/>
                    </w:rPr>
                    <w:t>41525196</w:t>
                  </w:r>
                </w:p>
              </w:tc>
              <w:tc>
                <w:tcPr>
                  <w:tcW w:w="902" w:type="pct"/>
                  <w:noWrap w:val="0"/>
                  <w:vAlign w:val="center"/>
                </w:tcPr>
                <w:p>
                  <w:pPr>
                    <w:adjustRightInd w:val="0"/>
                    <w:snapToGrid w:val="0"/>
                    <w:spacing w:line="0" w:lineRule="atLeast"/>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2022.01.15</w:t>
                  </w:r>
                </w:p>
              </w:tc>
              <w:tc>
                <w:tcPr>
                  <w:tcW w:w="784" w:type="pct"/>
                  <w:noWrap w:val="0"/>
                  <w:vAlign w:val="center"/>
                </w:tcPr>
                <w:p>
                  <w:pPr>
                    <w:spacing w:line="0" w:lineRule="atLeast"/>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w:t>
                  </w:r>
                </w:p>
              </w:tc>
            </w:tr>
            <w:tr>
              <w:tblPrEx>
                <w:tblBorders>
                  <w:top w:val="thinThickSmallGap" w:color="000000" w:sz="12" w:space="0"/>
                  <w:left w:val="none" w:color="auto" w:sz="0" w:space="0"/>
                  <w:bottom w:val="thickThinSmallGap"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614" w:hRule="exact"/>
                <w:jc w:val="center"/>
              </w:trPr>
              <w:tc>
                <w:tcPr>
                  <w:tcW w:w="416" w:type="pct"/>
                  <w:vMerge w:val="restart"/>
                  <w:noWrap w:val="0"/>
                  <w:vAlign w:val="center"/>
                </w:tcPr>
                <w:p>
                  <w:pPr>
                    <w:spacing w:line="0" w:lineRule="atLeast"/>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标定信息</w:t>
                  </w:r>
                </w:p>
              </w:tc>
              <w:tc>
                <w:tcPr>
                  <w:tcW w:w="1176" w:type="pct"/>
                  <w:noWrap w:val="0"/>
                  <w:vAlign w:val="center"/>
                </w:tcPr>
                <w:p>
                  <w:pPr>
                    <w:adjustRightInd w:val="0"/>
                    <w:snapToGrid w:val="0"/>
                    <w:spacing w:line="0" w:lineRule="atLeast"/>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标定类型</w:t>
                  </w:r>
                </w:p>
              </w:tc>
              <w:tc>
                <w:tcPr>
                  <w:tcW w:w="1721" w:type="pct"/>
                  <w:gridSpan w:val="2"/>
                  <w:noWrap w:val="0"/>
                  <w:vAlign w:val="center"/>
                </w:tcPr>
                <w:p>
                  <w:pPr>
                    <w:adjustRightInd w:val="0"/>
                    <w:snapToGrid w:val="0"/>
                    <w:spacing w:line="0" w:lineRule="atLeast"/>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仪器</w:t>
                  </w:r>
                </w:p>
              </w:tc>
              <w:tc>
                <w:tcPr>
                  <w:tcW w:w="902" w:type="pct"/>
                  <w:noWrap w:val="0"/>
                  <w:vAlign w:val="center"/>
                </w:tcPr>
                <w:p>
                  <w:pPr>
                    <w:spacing w:line="0" w:lineRule="atLeast"/>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bCs/>
                      <w:color w:val="auto"/>
                      <w:sz w:val="21"/>
                      <w:szCs w:val="21"/>
                    </w:rPr>
                    <w:t>仪器</w:t>
                  </w:r>
                  <w:r>
                    <w:rPr>
                      <w:rFonts w:hint="default" w:ascii="Times New Roman" w:hAnsi="Times New Roman" w:eastAsia="仿宋_GB2312" w:cs="Times New Roman"/>
                      <w:color w:val="auto"/>
                      <w:sz w:val="21"/>
                      <w:szCs w:val="21"/>
                    </w:rPr>
                    <w:t>编号</w:t>
                  </w:r>
                </w:p>
              </w:tc>
              <w:tc>
                <w:tcPr>
                  <w:tcW w:w="784" w:type="pct"/>
                  <w:noWrap w:val="0"/>
                  <w:vAlign w:val="center"/>
                </w:tcPr>
                <w:p>
                  <w:pPr>
                    <w:spacing w:line="0" w:lineRule="atLeast"/>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仪器检定</w:t>
                  </w:r>
                </w:p>
                <w:p>
                  <w:pPr>
                    <w:spacing w:line="0" w:lineRule="atLeast"/>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bCs/>
                      <w:color w:val="auto"/>
                      <w:sz w:val="21"/>
                      <w:szCs w:val="21"/>
                    </w:rPr>
                    <w:t>有效期</w:t>
                  </w:r>
                </w:p>
              </w:tc>
            </w:tr>
            <w:tr>
              <w:tblPrEx>
                <w:tblBorders>
                  <w:top w:val="thinThickSmallGap" w:color="000000" w:sz="12" w:space="0"/>
                  <w:left w:val="none" w:color="auto" w:sz="0" w:space="0"/>
                  <w:bottom w:val="thickThinSmallGap" w:color="000000" w:sz="12" w:space="0"/>
                  <w:right w:val="none" w:color="auto" w:sz="0" w:space="0"/>
                  <w:insideH w:val="single" w:color="000000" w:sz="4" w:space="0"/>
                  <w:insideV w:val="single" w:color="000000" w:sz="2" w:space="0"/>
                </w:tblBorders>
              </w:tblPrEx>
              <w:trPr>
                <w:trHeight w:val="471" w:hRule="exact"/>
                <w:jc w:val="center"/>
              </w:trPr>
              <w:tc>
                <w:tcPr>
                  <w:tcW w:w="416" w:type="pct"/>
                  <w:vMerge w:val="continue"/>
                  <w:noWrap w:val="0"/>
                  <w:vAlign w:val="center"/>
                </w:tcPr>
                <w:p>
                  <w:pPr>
                    <w:spacing w:line="0" w:lineRule="atLeast"/>
                    <w:jc w:val="center"/>
                    <w:rPr>
                      <w:rFonts w:hint="default" w:ascii="Times New Roman" w:hAnsi="Times New Roman" w:eastAsia="仿宋_GB2312" w:cs="Times New Roman"/>
                      <w:color w:val="auto"/>
                      <w:sz w:val="21"/>
                      <w:szCs w:val="21"/>
                    </w:rPr>
                  </w:pPr>
                </w:p>
              </w:tc>
              <w:tc>
                <w:tcPr>
                  <w:tcW w:w="1176" w:type="pct"/>
                  <w:noWrap w:val="0"/>
                  <w:vAlign w:val="center"/>
                </w:tcPr>
                <w:p>
                  <w:pPr>
                    <w:adjustRightInd w:val="0"/>
                    <w:snapToGrid w:val="0"/>
                    <w:spacing w:line="0" w:lineRule="atLeast"/>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color w:val="auto"/>
                      <w:sz w:val="21"/>
                      <w:szCs w:val="21"/>
                    </w:rPr>
                    <w:t>声级计校准仪</w:t>
                  </w:r>
                </w:p>
              </w:tc>
              <w:tc>
                <w:tcPr>
                  <w:tcW w:w="1721" w:type="pct"/>
                  <w:gridSpan w:val="2"/>
                  <w:noWrap w:val="0"/>
                  <w:vAlign w:val="center"/>
                </w:tcPr>
                <w:p>
                  <w:pPr>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color w:val="auto"/>
                      <w:sz w:val="21"/>
                      <w:szCs w:val="21"/>
                    </w:rPr>
                    <w:t>SC-05</w:t>
                  </w:r>
                </w:p>
              </w:tc>
              <w:tc>
                <w:tcPr>
                  <w:tcW w:w="902" w:type="pct"/>
                  <w:noWrap w:val="0"/>
                  <w:vAlign w:val="center"/>
                </w:tcPr>
                <w:p>
                  <w:pPr>
                    <w:spacing w:line="400" w:lineRule="exact"/>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color w:val="auto"/>
                      <w:sz w:val="21"/>
                      <w:szCs w:val="21"/>
                    </w:rPr>
                    <w:t>150426984</w:t>
                  </w:r>
                </w:p>
              </w:tc>
              <w:tc>
                <w:tcPr>
                  <w:tcW w:w="784" w:type="pct"/>
                  <w:noWrap w:val="0"/>
                  <w:vAlign w:val="center"/>
                </w:tcPr>
                <w:p>
                  <w:pPr>
                    <w:spacing w:line="400" w:lineRule="exact"/>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color w:val="auto"/>
                      <w:sz w:val="21"/>
                      <w:szCs w:val="21"/>
                      <w:lang w:val="en-US" w:eastAsia="zh-CN"/>
                    </w:rPr>
                    <w:t>2022.02.02</w:t>
                  </w:r>
                </w:p>
              </w:tc>
            </w:tr>
            <w:tr>
              <w:tblPrEx>
                <w:tblBorders>
                  <w:top w:val="thinThickSmallGap" w:color="000000" w:sz="12" w:space="0"/>
                  <w:left w:val="none" w:color="auto" w:sz="0" w:space="0"/>
                  <w:bottom w:val="thickThinSmallGap" w:color="000000" w:sz="12" w:space="0"/>
                  <w:right w:val="none" w:color="auto" w:sz="0" w:space="0"/>
                  <w:insideH w:val="single" w:color="000000" w:sz="4" w:space="0"/>
                  <w:insideV w:val="single" w:color="000000" w:sz="2" w:space="0"/>
                </w:tblBorders>
                <w:tblCellMar>
                  <w:top w:w="0" w:type="dxa"/>
                  <w:left w:w="108" w:type="dxa"/>
                  <w:bottom w:w="0" w:type="dxa"/>
                  <w:right w:w="108" w:type="dxa"/>
                </w:tblCellMar>
              </w:tblPrEx>
              <w:trPr>
                <w:trHeight w:val="510" w:hRule="exact"/>
                <w:jc w:val="center"/>
              </w:trPr>
              <w:tc>
                <w:tcPr>
                  <w:tcW w:w="416" w:type="pct"/>
                  <w:vMerge w:val="continue"/>
                  <w:noWrap w:val="0"/>
                  <w:vAlign w:val="center"/>
                </w:tcPr>
                <w:p>
                  <w:pPr>
                    <w:spacing w:line="0" w:lineRule="atLeast"/>
                    <w:jc w:val="center"/>
                    <w:rPr>
                      <w:rFonts w:hint="default" w:ascii="Times New Roman" w:hAnsi="Times New Roman" w:eastAsia="仿宋_GB2312" w:cs="Times New Roman"/>
                      <w:color w:val="auto"/>
                      <w:sz w:val="21"/>
                      <w:szCs w:val="21"/>
                    </w:rPr>
                  </w:pPr>
                </w:p>
              </w:tc>
              <w:tc>
                <w:tcPr>
                  <w:tcW w:w="1176" w:type="pct"/>
                  <w:noWrap w:val="0"/>
                  <w:vAlign w:val="center"/>
                </w:tcPr>
                <w:p>
                  <w:pPr>
                    <w:adjustRightInd w:val="0"/>
                    <w:snapToGrid w:val="0"/>
                    <w:spacing w:line="0" w:lineRule="atLeast"/>
                    <w:jc w:val="center"/>
                    <w:rPr>
                      <w:rFonts w:hint="default" w:ascii="Times New Roman" w:hAnsi="Times New Roman" w:eastAsia="仿宋_GB2312" w:cs="Times New Roman"/>
                      <w:bCs/>
                      <w:color w:val="auto"/>
                      <w:sz w:val="21"/>
                      <w:szCs w:val="21"/>
                      <w:lang w:val="en-US" w:eastAsia="zh-CN"/>
                    </w:rPr>
                  </w:pPr>
                  <w:r>
                    <w:rPr>
                      <w:rFonts w:hint="default" w:ascii="Times New Roman" w:hAnsi="Times New Roman" w:eastAsia="仿宋_GB2312" w:cs="Times New Roman"/>
                      <w:bCs/>
                      <w:color w:val="auto"/>
                      <w:sz w:val="21"/>
                      <w:szCs w:val="21"/>
                      <w:lang w:val="en-US" w:eastAsia="zh-CN"/>
                    </w:rPr>
                    <w:t>孔口流量校准器</w:t>
                  </w:r>
                </w:p>
              </w:tc>
              <w:tc>
                <w:tcPr>
                  <w:tcW w:w="1721" w:type="pct"/>
                  <w:gridSpan w:val="2"/>
                  <w:noWrap w:val="0"/>
                  <w:vAlign w:val="center"/>
                </w:tcPr>
                <w:p>
                  <w:pPr>
                    <w:adjustRightInd w:val="0"/>
                    <w:snapToGrid w:val="0"/>
                    <w:spacing w:line="0" w:lineRule="atLeast"/>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 w:val="0"/>
                      <w:bCs/>
                      <w:color w:val="auto"/>
                      <w:sz w:val="21"/>
                      <w:szCs w:val="21"/>
                    </w:rPr>
                    <w:t>ZR-5040</w:t>
                  </w:r>
                </w:p>
              </w:tc>
              <w:tc>
                <w:tcPr>
                  <w:tcW w:w="902" w:type="pct"/>
                  <w:noWrap w:val="0"/>
                  <w:vAlign w:val="center"/>
                </w:tcPr>
                <w:p>
                  <w:pPr>
                    <w:adjustRightInd w:val="0"/>
                    <w:snapToGrid w:val="0"/>
                    <w:spacing w:line="0" w:lineRule="atLeast"/>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color w:val="auto"/>
                      <w:sz w:val="21"/>
                      <w:szCs w:val="21"/>
                    </w:rPr>
                    <w:t>504016111762</w:t>
                  </w:r>
                </w:p>
              </w:tc>
              <w:tc>
                <w:tcPr>
                  <w:tcW w:w="784" w:type="pct"/>
                  <w:noWrap w:val="0"/>
                  <w:vAlign w:val="center"/>
                </w:tcPr>
                <w:p>
                  <w:pPr>
                    <w:adjustRightInd w:val="0"/>
                    <w:snapToGrid w:val="0"/>
                    <w:spacing w:line="0" w:lineRule="atLeast"/>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color w:val="auto"/>
                      <w:sz w:val="21"/>
                      <w:szCs w:val="21"/>
                      <w:lang w:val="en-US" w:eastAsia="zh-CN"/>
                    </w:rPr>
                    <w:t>2022.02.09</w:t>
                  </w:r>
                </w:p>
              </w:tc>
            </w:tr>
          </w:tbl>
          <w:p>
            <w:pPr>
              <w:jc w:val="center"/>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 xml:space="preserve">  大气采样仪器流量质控结果统计表</w:t>
            </w:r>
          </w:p>
          <w:tbl>
            <w:tblPr>
              <w:tblStyle w:val="16"/>
              <w:tblW w:w="0" w:type="auto"/>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707"/>
              <w:gridCol w:w="1415"/>
              <w:gridCol w:w="901"/>
              <w:gridCol w:w="884"/>
              <w:gridCol w:w="1372"/>
              <w:gridCol w:w="1043"/>
              <w:gridCol w:w="1017"/>
              <w:gridCol w:w="967"/>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00" w:hRule="atLeast"/>
                <w:jc w:val="center"/>
              </w:trPr>
              <w:tc>
                <w:tcPr>
                  <w:tcW w:w="734" w:type="dxa"/>
                  <w:noWrap w:val="0"/>
                  <w:vAlign w:val="center"/>
                </w:tcPr>
                <w:p>
                  <w:pPr>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项目</w:t>
                  </w:r>
                </w:p>
              </w:tc>
              <w:tc>
                <w:tcPr>
                  <w:tcW w:w="1423" w:type="dxa"/>
                  <w:noWrap w:val="0"/>
                  <w:vAlign w:val="center"/>
                </w:tcPr>
                <w:p>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仪器编号</w:t>
                  </w:r>
                </w:p>
              </w:tc>
              <w:tc>
                <w:tcPr>
                  <w:tcW w:w="1831" w:type="dxa"/>
                  <w:gridSpan w:val="2"/>
                  <w:noWrap w:val="0"/>
                  <w:vAlign w:val="center"/>
                </w:tcPr>
                <w:p>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标准值（L/min）</w:t>
                  </w:r>
                </w:p>
              </w:tc>
              <w:tc>
                <w:tcPr>
                  <w:tcW w:w="1396" w:type="dxa"/>
                  <w:noWrap w:val="0"/>
                  <w:vAlign w:val="center"/>
                </w:tcPr>
                <w:p>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实测流量平均值</w:t>
                  </w:r>
                </w:p>
                <w:p>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（L/min）</w:t>
                  </w:r>
                </w:p>
              </w:tc>
              <w:tc>
                <w:tcPr>
                  <w:tcW w:w="1067" w:type="dxa"/>
                  <w:noWrap w:val="0"/>
                  <w:vAlign w:val="center"/>
                </w:tcPr>
                <w:p>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相对偏差</w:t>
                  </w:r>
                </w:p>
                <w:p>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w:t>
                  </w:r>
                </w:p>
              </w:tc>
              <w:tc>
                <w:tcPr>
                  <w:tcW w:w="1040" w:type="dxa"/>
                  <w:noWrap w:val="0"/>
                  <w:vAlign w:val="center"/>
                </w:tcPr>
                <w:p>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允许偏差</w:t>
                  </w:r>
                </w:p>
                <w:p>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w:t>
                  </w:r>
                </w:p>
              </w:tc>
              <w:tc>
                <w:tcPr>
                  <w:tcW w:w="1008" w:type="dxa"/>
                  <w:noWrap w:val="0"/>
                  <w:vAlign w:val="center"/>
                </w:tcPr>
                <w:p>
                  <w:pPr>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是否</w:t>
                  </w:r>
                </w:p>
                <w:p>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bCs/>
                      <w:color w:val="auto"/>
                      <w:sz w:val="21"/>
                      <w:szCs w:val="21"/>
                    </w:rPr>
                    <w:t>符合要求</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83" w:hRule="atLeast"/>
                <w:jc w:val="center"/>
              </w:trPr>
              <w:tc>
                <w:tcPr>
                  <w:tcW w:w="734" w:type="dxa"/>
                  <w:vMerge w:val="restart"/>
                  <w:noWrap w:val="0"/>
                  <w:vAlign w:val="center"/>
                </w:tcPr>
                <w:p>
                  <w:pPr>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流量</w:t>
                  </w:r>
                </w:p>
              </w:tc>
              <w:tc>
                <w:tcPr>
                  <w:tcW w:w="1423" w:type="dxa"/>
                  <w:noWrap w:val="0"/>
                  <w:vAlign w:val="center"/>
                </w:tcPr>
                <w:p>
                  <w:pPr>
                    <w:spacing w:line="400" w:lineRule="exact"/>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392017082770</w:t>
                  </w:r>
                </w:p>
              </w:tc>
              <w:tc>
                <w:tcPr>
                  <w:tcW w:w="921" w:type="dxa"/>
                  <w:tcBorders>
                    <w:right w:val="single" w:color="auto" w:sz="4" w:space="0"/>
                  </w:tcBorders>
                  <w:noWrap w:val="0"/>
                  <w:vAlign w:val="center"/>
                </w:tcPr>
                <w:p>
                  <w:pPr>
                    <w:jc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rPr>
                    <w:t>TSP管路</w:t>
                  </w:r>
                </w:p>
              </w:tc>
              <w:tc>
                <w:tcPr>
                  <w:tcW w:w="910" w:type="dxa"/>
                  <w:tcBorders>
                    <w:left w:val="single" w:color="auto" w:sz="4" w:space="0"/>
                    <w:bottom w:val="single" w:color="auto" w:sz="4" w:space="0"/>
                  </w:tcBorders>
                  <w:noWrap w:val="0"/>
                  <w:vAlign w:val="center"/>
                </w:tcPr>
                <w:p>
                  <w:pPr>
                    <w:jc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rPr>
                    <w:t>100</w:t>
                  </w:r>
                </w:p>
              </w:tc>
              <w:tc>
                <w:tcPr>
                  <w:tcW w:w="1396" w:type="dxa"/>
                  <w:noWrap w:val="0"/>
                  <w:vAlign w:val="center"/>
                </w:tcPr>
                <w:p>
                  <w:pPr>
                    <w:jc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2"/>
                      <w:sz w:val="21"/>
                      <w:szCs w:val="21"/>
                      <w:lang w:val="en-US" w:eastAsia="zh-CN" w:bidi="ar-SA"/>
                    </w:rPr>
                    <w:t>96</w:t>
                  </w:r>
                </w:p>
              </w:tc>
              <w:tc>
                <w:tcPr>
                  <w:tcW w:w="1067" w:type="dxa"/>
                  <w:noWrap w:val="0"/>
                  <w:vAlign w:val="center"/>
                </w:tcPr>
                <w:p>
                  <w:pPr>
                    <w:jc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2"/>
                      <w:sz w:val="21"/>
                      <w:szCs w:val="21"/>
                      <w:lang w:val="en-US" w:eastAsia="zh-CN" w:bidi="ar-SA"/>
                    </w:rPr>
                    <w:t>4</w:t>
                  </w:r>
                </w:p>
              </w:tc>
              <w:tc>
                <w:tcPr>
                  <w:tcW w:w="1040" w:type="dxa"/>
                  <w:noWrap w:val="0"/>
                  <w:vAlign w:val="center"/>
                </w:tcPr>
                <w:p>
                  <w:pPr>
                    <w:jc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bCs/>
                      <w:color w:val="auto"/>
                      <w:sz w:val="21"/>
                      <w:szCs w:val="21"/>
                    </w:rPr>
                    <w:t>±</w:t>
                  </w:r>
                  <w:r>
                    <w:rPr>
                      <w:rFonts w:hint="default" w:ascii="Times New Roman" w:hAnsi="Times New Roman" w:eastAsia="仿宋_GB2312" w:cs="Times New Roman"/>
                      <w:color w:val="auto"/>
                      <w:sz w:val="21"/>
                      <w:szCs w:val="21"/>
                    </w:rPr>
                    <w:t>5</w:t>
                  </w:r>
                </w:p>
              </w:tc>
              <w:tc>
                <w:tcPr>
                  <w:tcW w:w="1008" w:type="dxa"/>
                  <w:tcBorders>
                    <w:bottom w:val="single" w:color="auto" w:sz="4" w:space="0"/>
                  </w:tcBorders>
                  <w:noWrap w:val="0"/>
                  <w:vAlign w:val="center"/>
                </w:tcPr>
                <w:p>
                  <w:pPr>
                    <w:jc w:val="center"/>
                    <w:rPr>
                      <w:rFonts w:hint="default" w:ascii="Times New Roman" w:hAnsi="Times New Roman" w:eastAsia="仿宋_GB2312" w:cs="Times New Roman"/>
                      <w:bCs/>
                      <w:color w:val="auto"/>
                      <w:kern w:val="2"/>
                      <w:sz w:val="21"/>
                      <w:szCs w:val="21"/>
                      <w:lang w:val="en-US" w:eastAsia="zh-CN" w:bidi="ar-SA"/>
                    </w:rPr>
                  </w:pPr>
                  <w:r>
                    <w:rPr>
                      <w:rFonts w:hint="default" w:ascii="Times New Roman" w:hAnsi="Times New Roman" w:eastAsia="仿宋_GB2312" w:cs="Times New Roman"/>
                      <w:bCs/>
                      <w:color w:val="auto"/>
                      <w:sz w:val="21"/>
                      <w:szCs w:val="21"/>
                    </w:rPr>
                    <w:t>是</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22" w:hRule="atLeast"/>
                <w:jc w:val="center"/>
              </w:trPr>
              <w:tc>
                <w:tcPr>
                  <w:tcW w:w="734" w:type="dxa"/>
                  <w:vMerge w:val="continue"/>
                  <w:noWrap w:val="0"/>
                  <w:vAlign w:val="center"/>
                </w:tcPr>
                <w:p>
                  <w:pPr>
                    <w:jc w:val="center"/>
                    <w:rPr>
                      <w:rFonts w:hint="eastAsia" w:ascii="仿宋_GB2312" w:hAnsi="仿宋_GB2312" w:eastAsia="仿宋_GB2312" w:cs="仿宋_GB2312"/>
                      <w:color w:val="auto"/>
                      <w:sz w:val="21"/>
                      <w:szCs w:val="21"/>
                    </w:rPr>
                  </w:pPr>
                </w:p>
              </w:tc>
              <w:tc>
                <w:tcPr>
                  <w:tcW w:w="1423" w:type="dxa"/>
                  <w:noWrap w:val="0"/>
                  <w:vAlign w:val="center"/>
                </w:tcPr>
                <w:p>
                  <w:pPr>
                    <w:spacing w:line="400" w:lineRule="exact"/>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392017082835</w:t>
                  </w:r>
                </w:p>
              </w:tc>
              <w:tc>
                <w:tcPr>
                  <w:tcW w:w="921" w:type="dxa"/>
                  <w:tcBorders>
                    <w:right w:val="single" w:color="auto" w:sz="4" w:space="0"/>
                  </w:tcBorders>
                  <w:noWrap w:val="0"/>
                  <w:vAlign w:val="center"/>
                </w:tcPr>
                <w:p>
                  <w:pPr>
                    <w:jc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rPr>
                    <w:t>TSP管路</w:t>
                  </w:r>
                </w:p>
              </w:tc>
              <w:tc>
                <w:tcPr>
                  <w:tcW w:w="910" w:type="dxa"/>
                  <w:tcBorders>
                    <w:top w:val="single" w:color="auto" w:sz="4" w:space="0"/>
                    <w:left w:val="single" w:color="auto" w:sz="4" w:space="0"/>
                  </w:tcBorders>
                  <w:noWrap w:val="0"/>
                  <w:vAlign w:val="center"/>
                </w:tcPr>
                <w:p>
                  <w:pPr>
                    <w:jc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rPr>
                    <w:t>100</w:t>
                  </w:r>
                </w:p>
              </w:tc>
              <w:tc>
                <w:tcPr>
                  <w:tcW w:w="1396" w:type="dxa"/>
                  <w:noWrap w:val="0"/>
                  <w:vAlign w:val="center"/>
                </w:tcPr>
                <w:p>
                  <w:pPr>
                    <w:jc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2"/>
                      <w:sz w:val="21"/>
                      <w:szCs w:val="21"/>
                      <w:lang w:val="en-US" w:eastAsia="zh-CN" w:bidi="ar-SA"/>
                    </w:rPr>
                    <w:t>97</w:t>
                  </w:r>
                </w:p>
              </w:tc>
              <w:tc>
                <w:tcPr>
                  <w:tcW w:w="1067" w:type="dxa"/>
                  <w:noWrap w:val="0"/>
                  <w:vAlign w:val="center"/>
                </w:tcPr>
                <w:p>
                  <w:pPr>
                    <w:jc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2"/>
                      <w:sz w:val="21"/>
                      <w:szCs w:val="21"/>
                      <w:lang w:val="en-US" w:eastAsia="zh-CN" w:bidi="ar-SA"/>
                    </w:rPr>
                    <w:t>3</w:t>
                  </w:r>
                </w:p>
              </w:tc>
              <w:tc>
                <w:tcPr>
                  <w:tcW w:w="1040" w:type="dxa"/>
                  <w:noWrap w:val="0"/>
                  <w:vAlign w:val="center"/>
                </w:tcPr>
                <w:p>
                  <w:pPr>
                    <w:jc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bCs/>
                      <w:color w:val="auto"/>
                      <w:sz w:val="21"/>
                      <w:szCs w:val="21"/>
                    </w:rPr>
                    <w:t>±</w:t>
                  </w:r>
                  <w:r>
                    <w:rPr>
                      <w:rFonts w:hint="default" w:ascii="Times New Roman" w:hAnsi="Times New Roman" w:eastAsia="仿宋_GB2312" w:cs="Times New Roman"/>
                      <w:color w:val="auto"/>
                      <w:sz w:val="21"/>
                      <w:szCs w:val="21"/>
                    </w:rPr>
                    <w:t>5</w:t>
                  </w:r>
                </w:p>
              </w:tc>
              <w:tc>
                <w:tcPr>
                  <w:tcW w:w="1008" w:type="dxa"/>
                  <w:tcBorders>
                    <w:top w:val="single" w:color="auto" w:sz="4" w:space="0"/>
                  </w:tcBorders>
                  <w:noWrap w:val="0"/>
                  <w:vAlign w:val="center"/>
                </w:tcPr>
                <w:p>
                  <w:pPr>
                    <w:jc w:val="center"/>
                    <w:rPr>
                      <w:rFonts w:hint="default" w:ascii="Times New Roman" w:hAnsi="Times New Roman" w:eastAsia="仿宋_GB2312" w:cs="Times New Roman"/>
                      <w:bCs/>
                      <w:color w:val="auto"/>
                      <w:kern w:val="2"/>
                      <w:sz w:val="21"/>
                      <w:szCs w:val="21"/>
                      <w:lang w:val="en-US" w:eastAsia="zh-CN" w:bidi="ar-SA"/>
                    </w:rPr>
                  </w:pPr>
                  <w:r>
                    <w:rPr>
                      <w:rFonts w:hint="default" w:ascii="Times New Roman" w:hAnsi="Times New Roman" w:eastAsia="仿宋_GB2312" w:cs="Times New Roman"/>
                      <w:bCs/>
                      <w:color w:val="auto"/>
                      <w:sz w:val="21"/>
                      <w:szCs w:val="21"/>
                    </w:rPr>
                    <w:t>是</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22" w:hRule="atLeast"/>
                <w:jc w:val="center"/>
              </w:trPr>
              <w:tc>
                <w:tcPr>
                  <w:tcW w:w="734" w:type="dxa"/>
                  <w:vMerge w:val="continue"/>
                  <w:noWrap w:val="0"/>
                  <w:vAlign w:val="center"/>
                </w:tcPr>
                <w:p>
                  <w:pPr>
                    <w:jc w:val="center"/>
                    <w:rPr>
                      <w:rFonts w:hint="eastAsia" w:ascii="仿宋_GB2312" w:hAnsi="仿宋_GB2312" w:eastAsia="仿宋_GB2312" w:cs="仿宋_GB2312"/>
                      <w:color w:val="auto"/>
                      <w:sz w:val="21"/>
                      <w:szCs w:val="21"/>
                    </w:rPr>
                  </w:pPr>
                </w:p>
              </w:tc>
              <w:tc>
                <w:tcPr>
                  <w:tcW w:w="1423" w:type="dxa"/>
                  <w:noWrap w:val="0"/>
                  <w:vAlign w:val="center"/>
                </w:tcPr>
                <w:p>
                  <w:pPr>
                    <w:spacing w:line="400" w:lineRule="exact"/>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392017082699</w:t>
                  </w:r>
                </w:p>
              </w:tc>
              <w:tc>
                <w:tcPr>
                  <w:tcW w:w="921" w:type="dxa"/>
                  <w:tcBorders>
                    <w:right w:val="single" w:color="auto" w:sz="4" w:space="0"/>
                  </w:tcBorders>
                  <w:noWrap w:val="0"/>
                  <w:vAlign w:val="center"/>
                </w:tcPr>
                <w:p>
                  <w:pPr>
                    <w:jc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rPr>
                    <w:t>TSP管路</w:t>
                  </w:r>
                </w:p>
              </w:tc>
              <w:tc>
                <w:tcPr>
                  <w:tcW w:w="910" w:type="dxa"/>
                  <w:tcBorders>
                    <w:top w:val="single" w:color="auto" w:sz="4" w:space="0"/>
                    <w:left w:val="single" w:color="auto" w:sz="4" w:space="0"/>
                  </w:tcBorders>
                  <w:noWrap w:val="0"/>
                  <w:vAlign w:val="center"/>
                </w:tcPr>
                <w:p>
                  <w:pPr>
                    <w:jc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rPr>
                    <w:t>100</w:t>
                  </w:r>
                </w:p>
              </w:tc>
              <w:tc>
                <w:tcPr>
                  <w:tcW w:w="1396" w:type="dxa"/>
                  <w:noWrap w:val="0"/>
                  <w:vAlign w:val="center"/>
                </w:tcPr>
                <w:p>
                  <w:pPr>
                    <w:jc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2"/>
                      <w:sz w:val="21"/>
                      <w:szCs w:val="21"/>
                      <w:lang w:val="en-US" w:eastAsia="zh-CN" w:bidi="ar-SA"/>
                    </w:rPr>
                    <w:t>97</w:t>
                  </w:r>
                </w:p>
              </w:tc>
              <w:tc>
                <w:tcPr>
                  <w:tcW w:w="1067" w:type="dxa"/>
                  <w:noWrap w:val="0"/>
                  <w:vAlign w:val="center"/>
                </w:tcPr>
                <w:p>
                  <w:pPr>
                    <w:jc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2"/>
                      <w:sz w:val="21"/>
                      <w:szCs w:val="21"/>
                      <w:lang w:val="en-US" w:eastAsia="zh-CN" w:bidi="ar-SA"/>
                    </w:rPr>
                    <w:t>3</w:t>
                  </w:r>
                </w:p>
              </w:tc>
              <w:tc>
                <w:tcPr>
                  <w:tcW w:w="1040" w:type="dxa"/>
                  <w:noWrap w:val="0"/>
                  <w:vAlign w:val="center"/>
                </w:tcPr>
                <w:p>
                  <w:pPr>
                    <w:jc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bCs/>
                      <w:color w:val="auto"/>
                      <w:sz w:val="21"/>
                      <w:szCs w:val="21"/>
                    </w:rPr>
                    <w:t>±</w:t>
                  </w:r>
                  <w:r>
                    <w:rPr>
                      <w:rFonts w:hint="default" w:ascii="Times New Roman" w:hAnsi="Times New Roman" w:eastAsia="仿宋_GB2312" w:cs="Times New Roman"/>
                      <w:color w:val="auto"/>
                      <w:sz w:val="21"/>
                      <w:szCs w:val="21"/>
                    </w:rPr>
                    <w:t>5</w:t>
                  </w:r>
                </w:p>
              </w:tc>
              <w:tc>
                <w:tcPr>
                  <w:tcW w:w="1008" w:type="dxa"/>
                  <w:tcBorders>
                    <w:top w:val="single" w:color="auto" w:sz="4" w:space="0"/>
                  </w:tcBorders>
                  <w:noWrap w:val="0"/>
                  <w:vAlign w:val="center"/>
                </w:tcPr>
                <w:p>
                  <w:pPr>
                    <w:jc w:val="center"/>
                    <w:rPr>
                      <w:rFonts w:hint="default" w:ascii="Times New Roman" w:hAnsi="Times New Roman" w:eastAsia="仿宋_GB2312" w:cs="Times New Roman"/>
                      <w:bCs/>
                      <w:color w:val="auto"/>
                      <w:kern w:val="2"/>
                      <w:sz w:val="21"/>
                      <w:szCs w:val="21"/>
                      <w:lang w:val="en-US" w:eastAsia="zh-CN" w:bidi="ar-SA"/>
                    </w:rPr>
                  </w:pPr>
                  <w:r>
                    <w:rPr>
                      <w:rFonts w:hint="default" w:ascii="Times New Roman" w:hAnsi="Times New Roman" w:eastAsia="仿宋_GB2312" w:cs="Times New Roman"/>
                      <w:bCs/>
                      <w:color w:val="auto"/>
                      <w:sz w:val="21"/>
                      <w:szCs w:val="21"/>
                    </w:rPr>
                    <w:t>是</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54" w:hRule="atLeast"/>
                <w:jc w:val="center"/>
              </w:trPr>
              <w:tc>
                <w:tcPr>
                  <w:tcW w:w="734" w:type="dxa"/>
                  <w:vMerge w:val="continue"/>
                  <w:noWrap w:val="0"/>
                  <w:vAlign w:val="center"/>
                </w:tcPr>
                <w:p>
                  <w:pPr>
                    <w:jc w:val="center"/>
                    <w:rPr>
                      <w:rFonts w:hint="eastAsia" w:ascii="仿宋_GB2312" w:hAnsi="仿宋_GB2312" w:eastAsia="仿宋_GB2312" w:cs="仿宋_GB2312"/>
                      <w:color w:val="auto"/>
                      <w:sz w:val="21"/>
                      <w:szCs w:val="21"/>
                    </w:rPr>
                  </w:pPr>
                </w:p>
              </w:tc>
              <w:tc>
                <w:tcPr>
                  <w:tcW w:w="1423" w:type="dxa"/>
                  <w:noWrap w:val="0"/>
                  <w:vAlign w:val="center"/>
                </w:tcPr>
                <w:p>
                  <w:pPr>
                    <w:spacing w:line="400" w:lineRule="exact"/>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392017082746</w:t>
                  </w:r>
                </w:p>
              </w:tc>
              <w:tc>
                <w:tcPr>
                  <w:tcW w:w="921" w:type="dxa"/>
                  <w:tcBorders>
                    <w:right w:val="single" w:color="auto" w:sz="4" w:space="0"/>
                  </w:tcBorders>
                  <w:noWrap w:val="0"/>
                  <w:vAlign w:val="center"/>
                </w:tcPr>
                <w:p>
                  <w:pPr>
                    <w:jc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rPr>
                    <w:t>TSP管路</w:t>
                  </w:r>
                </w:p>
              </w:tc>
              <w:tc>
                <w:tcPr>
                  <w:tcW w:w="910" w:type="dxa"/>
                  <w:tcBorders>
                    <w:top w:val="single" w:color="auto" w:sz="4" w:space="0"/>
                    <w:left w:val="single" w:color="auto" w:sz="4" w:space="0"/>
                  </w:tcBorders>
                  <w:noWrap w:val="0"/>
                  <w:vAlign w:val="center"/>
                </w:tcPr>
                <w:p>
                  <w:pPr>
                    <w:jc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rPr>
                    <w:t>100</w:t>
                  </w:r>
                </w:p>
              </w:tc>
              <w:tc>
                <w:tcPr>
                  <w:tcW w:w="1396" w:type="dxa"/>
                  <w:noWrap w:val="0"/>
                  <w:vAlign w:val="center"/>
                </w:tcPr>
                <w:p>
                  <w:pPr>
                    <w:jc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2"/>
                      <w:sz w:val="21"/>
                      <w:szCs w:val="21"/>
                      <w:lang w:val="en-US" w:eastAsia="zh-CN" w:bidi="ar-SA"/>
                    </w:rPr>
                    <w:t>96</w:t>
                  </w:r>
                </w:p>
              </w:tc>
              <w:tc>
                <w:tcPr>
                  <w:tcW w:w="1067" w:type="dxa"/>
                  <w:noWrap w:val="0"/>
                  <w:vAlign w:val="center"/>
                </w:tcPr>
                <w:p>
                  <w:pPr>
                    <w:jc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2"/>
                      <w:sz w:val="21"/>
                      <w:szCs w:val="21"/>
                      <w:lang w:val="en-US" w:eastAsia="zh-CN" w:bidi="ar-SA"/>
                    </w:rPr>
                    <w:t>4</w:t>
                  </w:r>
                </w:p>
              </w:tc>
              <w:tc>
                <w:tcPr>
                  <w:tcW w:w="1040" w:type="dxa"/>
                  <w:noWrap w:val="0"/>
                  <w:vAlign w:val="center"/>
                </w:tcPr>
                <w:p>
                  <w:pPr>
                    <w:jc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bCs/>
                      <w:color w:val="auto"/>
                      <w:sz w:val="21"/>
                      <w:szCs w:val="21"/>
                    </w:rPr>
                    <w:t>±</w:t>
                  </w:r>
                  <w:r>
                    <w:rPr>
                      <w:rFonts w:hint="default" w:ascii="Times New Roman" w:hAnsi="Times New Roman" w:eastAsia="仿宋_GB2312" w:cs="Times New Roman"/>
                      <w:color w:val="auto"/>
                      <w:sz w:val="21"/>
                      <w:szCs w:val="21"/>
                    </w:rPr>
                    <w:t>5</w:t>
                  </w:r>
                </w:p>
              </w:tc>
              <w:tc>
                <w:tcPr>
                  <w:tcW w:w="1008" w:type="dxa"/>
                  <w:tcBorders>
                    <w:top w:val="single" w:color="auto" w:sz="4" w:space="0"/>
                  </w:tcBorders>
                  <w:noWrap w:val="0"/>
                  <w:vAlign w:val="center"/>
                </w:tcPr>
                <w:p>
                  <w:pPr>
                    <w:jc w:val="center"/>
                    <w:rPr>
                      <w:rFonts w:hint="default" w:ascii="Times New Roman" w:hAnsi="Times New Roman" w:eastAsia="仿宋_GB2312" w:cs="Times New Roman"/>
                      <w:bCs/>
                      <w:color w:val="auto"/>
                      <w:kern w:val="2"/>
                      <w:sz w:val="21"/>
                      <w:szCs w:val="21"/>
                      <w:lang w:val="en-US" w:eastAsia="zh-CN" w:bidi="ar-SA"/>
                    </w:rPr>
                  </w:pPr>
                  <w:r>
                    <w:rPr>
                      <w:rFonts w:hint="default" w:ascii="Times New Roman" w:hAnsi="Times New Roman" w:eastAsia="仿宋_GB2312" w:cs="Times New Roman"/>
                      <w:bCs/>
                      <w:color w:val="auto"/>
                      <w:sz w:val="21"/>
                      <w:szCs w:val="21"/>
                    </w:rPr>
                    <w:t>是</w:t>
                  </w:r>
                </w:p>
              </w:tc>
            </w:tr>
          </w:tbl>
          <w:p>
            <w:pPr>
              <w:pStyle w:val="5"/>
              <w:keepNext/>
              <w:keepLines/>
              <w:pageBreakBefore w:val="0"/>
              <w:widowControl/>
              <w:kinsoku/>
              <w:wordWrap/>
              <w:overflowPunct/>
              <w:topLinePunct w:val="0"/>
              <w:autoSpaceDE/>
              <w:autoSpaceDN/>
              <w:bidi w:val="0"/>
              <w:adjustRightInd w:val="0"/>
              <w:snapToGrid w:val="0"/>
              <w:spacing w:line="480" w:lineRule="exact"/>
              <w:ind w:left="0" w:leftChars="0" w:right="0" w:rightChars="0" w:firstLine="0" w:firstLineChars="0"/>
              <w:jc w:val="both"/>
              <w:textAlignment w:val="baseline"/>
              <w:outlineLvl w:val="1"/>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噪声监测过程中的质量保证和质量控制：</w:t>
            </w:r>
          </w:p>
          <w:p>
            <w:pPr>
              <w:keepNext w:val="0"/>
              <w:keepLines w:val="0"/>
              <w:pageBreakBefore w:val="0"/>
              <w:widowControl/>
              <w:kinsoku/>
              <w:wordWrap/>
              <w:overflowPunct/>
              <w:topLinePunct w:val="0"/>
              <w:autoSpaceDE/>
              <w:autoSpaceDN/>
              <w:bidi w:val="0"/>
              <w:adjustRightInd w:val="0"/>
              <w:snapToGrid w:val="0"/>
              <w:spacing w:line="480" w:lineRule="exact"/>
              <w:ind w:left="0" w:leftChars="0" w:right="0" w:rightChars="0" w:firstLine="560" w:firstLineChars="200"/>
              <w:jc w:val="left"/>
              <w:textAlignment w:val="auto"/>
              <w:rPr>
                <w:rFonts w:hint="eastAsia" w:ascii="仿宋_GB2312" w:hAnsi="仿宋_GB2312" w:eastAsia="仿宋_GB2312" w:cs="仿宋_GB2312"/>
                <w:b/>
                <w:color w:val="auto"/>
                <w:sz w:val="28"/>
                <w:szCs w:val="28"/>
              </w:rPr>
            </w:pPr>
            <w:r>
              <w:rPr>
                <w:rFonts w:hint="eastAsia" w:ascii="仿宋_GB2312" w:hAnsi="仿宋_GB2312" w:eastAsia="仿宋_GB2312" w:cs="仿宋_GB2312"/>
                <w:color w:val="auto"/>
                <w:sz w:val="28"/>
                <w:szCs w:val="28"/>
              </w:rPr>
              <w:t>测量仪器和校准仪器定期检验合格，并在有效期内使用；每次测量前、后在测量现场进行声学校准，其前、后校准示值偏差不大于0.5dB；具体见</w:t>
            </w:r>
            <w:r>
              <w:rPr>
                <w:rFonts w:hint="eastAsia" w:ascii="仿宋_GB2312" w:hAnsi="仿宋_GB2312" w:eastAsia="仿宋_GB2312" w:cs="仿宋_GB2312"/>
                <w:color w:val="auto"/>
                <w:sz w:val="28"/>
                <w:szCs w:val="28"/>
                <w:lang w:eastAsia="zh-CN"/>
              </w:rPr>
              <w:t>下</w:t>
            </w:r>
            <w:r>
              <w:rPr>
                <w:rFonts w:hint="eastAsia" w:ascii="仿宋_GB2312" w:hAnsi="仿宋_GB2312" w:eastAsia="仿宋_GB2312" w:cs="仿宋_GB2312"/>
                <w:color w:val="auto"/>
                <w:sz w:val="28"/>
                <w:szCs w:val="28"/>
              </w:rPr>
              <w:t>表。</w:t>
            </w:r>
          </w:p>
          <w:p>
            <w:pPr>
              <w:jc w:val="center"/>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 xml:space="preserve"> 噪声监测质控结果统计表</w:t>
            </w:r>
          </w:p>
          <w:tbl>
            <w:tblPr>
              <w:tblStyle w:val="16"/>
              <w:tblW w:w="0" w:type="auto"/>
              <w:jc w:val="center"/>
              <w:tblBorders>
                <w:top w:val="thinThickSmallGap" w:color="000000" w:sz="12" w:space="0"/>
                <w:left w:val="none" w:color="auto" w:sz="0" w:space="0"/>
                <w:bottom w:val="thickThinSmallGap"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94"/>
              <w:gridCol w:w="1663"/>
              <w:gridCol w:w="1250"/>
              <w:gridCol w:w="1250"/>
              <w:gridCol w:w="991"/>
              <w:gridCol w:w="1213"/>
              <w:gridCol w:w="1145"/>
            </w:tblGrid>
            <w:tr>
              <w:tblPrEx>
                <w:tblBorders>
                  <w:top w:val="thinThickSmallGap" w:color="000000" w:sz="12" w:space="0"/>
                  <w:left w:val="none" w:color="auto" w:sz="0" w:space="0"/>
                  <w:bottom w:val="thickThinSmallGap"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34" w:hRule="atLeast"/>
                <w:jc w:val="center"/>
              </w:trPr>
              <w:tc>
                <w:tcPr>
                  <w:tcW w:w="817" w:type="dxa"/>
                  <w:noWrap w:val="0"/>
                  <w:vAlign w:val="center"/>
                </w:tcPr>
                <w:p>
                  <w:pPr>
                    <w:jc w:val="center"/>
                    <w:rPr>
                      <w:rFonts w:hint="eastAsia" w:ascii="仿宋_GB2312" w:hAnsi="仿宋_GB2312" w:eastAsia="仿宋_GB2312" w:cs="仿宋_GB2312"/>
                      <w:bCs/>
                      <w:color w:val="auto"/>
                      <w:sz w:val="21"/>
                      <w:szCs w:val="21"/>
                    </w:rPr>
                  </w:pPr>
                  <w:r>
                    <w:rPr>
                      <w:rFonts w:hint="eastAsia" w:ascii="仿宋_GB2312" w:hAnsi="仿宋_GB2312" w:eastAsia="仿宋_GB2312" w:cs="仿宋_GB2312"/>
                      <w:bCs/>
                      <w:color w:val="auto"/>
                      <w:sz w:val="21"/>
                      <w:szCs w:val="21"/>
                    </w:rPr>
                    <w:t>项目</w:t>
                  </w:r>
                </w:p>
              </w:tc>
              <w:tc>
                <w:tcPr>
                  <w:tcW w:w="1701" w:type="dxa"/>
                  <w:noWrap w:val="0"/>
                  <w:vAlign w:val="center"/>
                </w:tcPr>
                <w:p>
                  <w:pPr>
                    <w:jc w:val="center"/>
                    <w:rPr>
                      <w:rFonts w:hint="eastAsia" w:ascii="仿宋_GB2312" w:hAnsi="仿宋_GB2312" w:eastAsia="仿宋_GB2312" w:cs="仿宋_GB2312"/>
                      <w:bCs/>
                      <w:color w:val="auto"/>
                      <w:sz w:val="21"/>
                      <w:szCs w:val="21"/>
                    </w:rPr>
                  </w:pPr>
                  <w:r>
                    <w:rPr>
                      <w:rFonts w:hint="eastAsia" w:ascii="仿宋_GB2312" w:hAnsi="仿宋_GB2312" w:eastAsia="仿宋_GB2312" w:cs="仿宋_GB2312"/>
                      <w:bCs/>
                      <w:color w:val="auto"/>
                      <w:sz w:val="21"/>
                      <w:szCs w:val="21"/>
                    </w:rPr>
                    <w:t>监测时间</w:t>
                  </w:r>
                </w:p>
              </w:tc>
              <w:tc>
                <w:tcPr>
                  <w:tcW w:w="1276" w:type="dxa"/>
                  <w:noWrap w:val="0"/>
                  <w:vAlign w:val="center"/>
                </w:tcPr>
                <w:p>
                  <w:pPr>
                    <w:jc w:val="center"/>
                    <w:rPr>
                      <w:rFonts w:hint="eastAsia" w:ascii="仿宋_GB2312" w:hAnsi="仿宋_GB2312" w:eastAsia="仿宋_GB2312" w:cs="仿宋_GB2312"/>
                      <w:bCs/>
                      <w:color w:val="auto"/>
                      <w:sz w:val="21"/>
                      <w:szCs w:val="21"/>
                    </w:rPr>
                  </w:pPr>
                  <w:r>
                    <w:rPr>
                      <w:rFonts w:hint="eastAsia" w:ascii="仿宋_GB2312" w:hAnsi="仿宋_GB2312" w:eastAsia="仿宋_GB2312" w:cs="仿宋_GB2312"/>
                      <w:bCs/>
                      <w:color w:val="auto"/>
                      <w:sz w:val="21"/>
                      <w:szCs w:val="21"/>
                    </w:rPr>
                    <w:t>测量前</w:t>
                  </w:r>
                </w:p>
                <w:p>
                  <w:pPr>
                    <w:jc w:val="center"/>
                    <w:rPr>
                      <w:rFonts w:hint="eastAsia" w:ascii="仿宋_GB2312" w:hAnsi="仿宋_GB2312" w:eastAsia="仿宋_GB2312" w:cs="仿宋_GB2312"/>
                      <w:bCs/>
                      <w:color w:val="auto"/>
                      <w:sz w:val="21"/>
                      <w:szCs w:val="21"/>
                    </w:rPr>
                  </w:pPr>
                  <w:r>
                    <w:rPr>
                      <w:rFonts w:hint="eastAsia" w:ascii="仿宋_GB2312" w:hAnsi="仿宋_GB2312" w:eastAsia="仿宋_GB2312" w:cs="仿宋_GB2312"/>
                      <w:bCs/>
                      <w:color w:val="auto"/>
                      <w:sz w:val="21"/>
                      <w:szCs w:val="21"/>
                    </w:rPr>
                    <w:t>校准值</w:t>
                  </w:r>
                </w:p>
              </w:tc>
              <w:tc>
                <w:tcPr>
                  <w:tcW w:w="1276" w:type="dxa"/>
                  <w:noWrap w:val="0"/>
                  <w:vAlign w:val="center"/>
                </w:tcPr>
                <w:p>
                  <w:pPr>
                    <w:jc w:val="center"/>
                    <w:rPr>
                      <w:rFonts w:hint="eastAsia" w:ascii="仿宋_GB2312" w:hAnsi="仿宋_GB2312" w:eastAsia="仿宋_GB2312" w:cs="仿宋_GB2312"/>
                      <w:bCs/>
                      <w:color w:val="auto"/>
                      <w:sz w:val="21"/>
                      <w:szCs w:val="21"/>
                    </w:rPr>
                  </w:pPr>
                  <w:r>
                    <w:rPr>
                      <w:rFonts w:hint="eastAsia" w:ascii="仿宋_GB2312" w:hAnsi="仿宋_GB2312" w:eastAsia="仿宋_GB2312" w:cs="仿宋_GB2312"/>
                      <w:bCs/>
                      <w:color w:val="auto"/>
                      <w:sz w:val="21"/>
                      <w:szCs w:val="21"/>
                    </w:rPr>
                    <w:t>测量后</w:t>
                  </w:r>
                </w:p>
                <w:p>
                  <w:pPr>
                    <w:jc w:val="center"/>
                    <w:rPr>
                      <w:rFonts w:hint="eastAsia" w:ascii="仿宋_GB2312" w:hAnsi="仿宋_GB2312" w:eastAsia="仿宋_GB2312" w:cs="仿宋_GB2312"/>
                      <w:bCs/>
                      <w:color w:val="auto"/>
                      <w:sz w:val="21"/>
                      <w:szCs w:val="21"/>
                    </w:rPr>
                  </w:pPr>
                  <w:r>
                    <w:rPr>
                      <w:rFonts w:hint="eastAsia" w:ascii="仿宋_GB2312" w:hAnsi="仿宋_GB2312" w:eastAsia="仿宋_GB2312" w:cs="仿宋_GB2312"/>
                      <w:bCs/>
                      <w:color w:val="auto"/>
                      <w:sz w:val="21"/>
                      <w:szCs w:val="21"/>
                    </w:rPr>
                    <w:t>校准值</w:t>
                  </w:r>
                </w:p>
              </w:tc>
              <w:tc>
                <w:tcPr>
                  <w:tcW w:w="1026" w:type="dxa"/>
                  <w:noWrap w:val="0"/>
                  <w:vAlign w:val="center"/>
                </w:tcPr>
                <w:p>
                  <w:pPr>
                    <w:jc w:val="center"/>
                    <w:rPr>
                      <w:rFonts w:hint="eastAsia" w:ascii="仿宋_GB2312" w:hAnsi="仿宋_GB2312" w:eastAsia="仿宋_GB2312" w:cs="仿宋_GB2312"/>
                      <w:bCs/>
                      <w:color w:val="auto"/>
                      <w:sz w:val="21"/>
                      <w:szCs w:val="21"/>
                    </w:rPr>
                  </w:pPr>
                  <w:r>
                    <w:rPr>
                      <w:rFonts w:hint="eastAsia" w:ascii="仿宋_GB2312" w:hAnsi="仿宋_GB2312" w:eastAsia="仿宋_GB2312" w:cs="仿宋_GB2312"/>
                      <w:bCs/>
                      <w:color w:val="auto"/>
                      <w:sz w:val="21"/>
                      <w:szCs w:val="21"/>
                    </w:rPr>
                    <w:t>示值</w:t>
                  </w:r>
                </w:p>
                <w:p>
                  <w:pPr>
                    <w:jc w:val="center"/>
                    <w:rPr>
                      <w:rFonts w:hint="eastAsia" w:ascii="仿宋_GB2312" w:hAnsi="仿宋_GB2312" w:eastAsia="仿宋_GB2312" w:cs="仿宋_GB2312"/>
                      <w:bCs/>
                      <w:color w:val="auto"/>
                      <w:sz w:val="21"/>
                      <w:szCs w:val="21"/>
                    </w:rPr>
                  </w:pPr>
                  <w:r>
                    <w:rPr>
                      <w:rFonts w:hint="eastAsia" w:ascii="仿宋_GB2312" w:hAnsi="仿宋_GB2312" w:eastAsia="仿宋_GB2312" w:cs="仿宋_GB2312"/>
                      <w:bCs/>
                      <w:color w:val="auto"/>
                      <w:sz w:val="21"/>
                      <w:szCs w:val="21"/>
                    </w:rPr>
                    <w:t>偏差</w:t>
                  </w:r>
                </w:p>
              </w:tc>
              <w:tc>
                <w:tcPr>
                  <w:tcW w:w="1236" w:type="dxa"/>
                  <w:noWrap w:val="0"/>
                  <w:vAlign w:val="center"/>
                </w:tcPr>
                <w:p>
                  <w:pPr>
                    <w:jc w:val="center"/>
                    <w:rPr>
                      <w:rFonts w:hint="eastAsia" w:ascii="仿宋_GB2312" w:hAnsi="仿宋_GB2312" w:eastAsia="仿宋_GB2312" w:cs="仿宋_GB2312"/>
                      <w:bCs/>
                      <w:color w:val="auto"/>
                      <w:sz w:val="21"/>
                      <w:szCs w:val="21"/>
                    </w:rPr>
                  </w:pPr>
                  <w:r>
                    <w:rPr>
                      <w:rFonts w:hint="eastAsia" w:ascii="仿宋_GB2312" w:hAnsi="仿宋_GB2312" w:eastAsia="仿宋_GB2312" w:cs="仿宋_GB2312"/>
                      <w:bCs/>
                      <w:color w:val="auto"/>
                      <w:sz w:val="21"/>
                      <w:szCs w:val="21"/>
                    </w:rPr>
                    <w:t>标准值</w:t>
                  </w:r>
                </w:p>
              </w:tc>
              <w:tc>
                <w:tcPr>
                  <w:tcW w:w="1190" w:type="dxa"/>
                  <w:noWrap w:val="0"/>
                  <w:vAlign w:val="center"/>
                </w:tcPr>
                <w:p>
                  <w:pPr>
                    <w:jc w:val="center"/>
                    <w:rPr>
                      <w:rFonts w:hint="eastAsia" w:ascii="仿宋_GB2312" w:hAnsi="仿宋_GB2312" w:eastAsia="仿宋_GB2312" w:cs="仿宋_GB2312"/>
                      <w:bCs/>
                      <w:color w:val="auto"/>
                      <w:sz w:val="21"/>
                      <w:szCs w:val="21"/>
                    </w:rPr>
                  </w:pPr>
                  <w:r>
                    <w:rPr>
                      <w:rFonts w:hint="eastAsia" w:ascii="仿宋_GB2312" w:hAnsi="仿宋_GB2312" w:eastAsia="仿宋_GB2312" w:cs="仿宋_GB2312"/>
                      <w:bCs/>
                      <w:color w:val="auto"/>
                      <w:sz w:val="21"/>
                      <w:szCs w:val="21"/>
                    </w:rPr>
                    <w:t>是否</w:t>
                  </w:r>
                </w:p>
                <w:p>
                  <w:pPr>
                    <w:jc w:val="center"/>
                    <w:rPr>
                      <w:rFonts w:hint="eastAsia" w:ascii="仿宋_GB2312" w:hAnsi="仿宋_GB2312" w:eastAsia="仿宋_GB2312" w:cs="仿宋_GB2312"/>
                      <w:bCs/>
                      <w:color w:val="auto"/>
                      <w:sz w:val="21"/>
                      <w:szCs w:val="21"/>
                    </w:rPr>
                  </w:pPr>
                  <w:r>
                    <w:rPr>
                      <w:rFonts w:hint="eastAsia" w:ascii="仿宋_GB2312" w:hAnsi="仿宋_GB2312" w:eastAsia="仿宋_GB2312" w:cs="仿宋_GB2312"/>
                      <w:bCs/>
                      <w:color w:val="auto"/>
                      <w:sz w:val="21"/>
                      <w:szCs w:val="21"/>
                    </w:rPr>
                    <w:t>符合要求</w:t>
                  </w:r>
                </w:p>
              </w:tc>
            </w:tr>
            <w:tr>
              <w:tblPrEx>
                <w:tblBorders>
                  <w:top w:val="thinThickSmallGap" w:color="000000" w:sz="12" w:space="0"/>
                  <w:left w:val="none" w:color="auto" w:sz="0" w:space="0"/>
                  <w:bottom w:val="thickThinSmallGap"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817" w:type="dxa"/>
                  <w:vMerge w:val="restart"/>
                  <w:noWrap w:val="0"/>
                  <w:vAlign w:val="center"/>
                </w:tcPr>
                <w:p>
                  <w:pPr>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噪声</w:t>
                  </w:r>
                </w:p>
              </w:tc>
              <w:tc>
                <w:tcPr>
                  <w:tcW w:w="1701" w:type="dxa"/>
                  <w:noWrap w:val="0"/>
                  <w:vAlign w:val="center"/>
                </w:tcPr>
                <w:p>
                  <w:pPr>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2021.5.26</w:t>
                  </w:r>
                </w:p>
              </w:tc>
              <w:tc>
                <w:tcPr>
                  <w:tcW w:w="1276" w:type="dxa"/>
                  <w:noWrap w:val="0"/>
                  <w:vAlign w:val="center"/>
                </w:tcPr>
                <w:p>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93.8dB</w:t>
                  </w:r>
                </w:p>
              </w:tc>
              <w:tc>
                <w:tcPr>
                  <w:tcW w:w="1276" w:type="dxa"/>
                  <w:noWrap w:val="0"/>
                  <w:vAlign w:val="center"/>
                </w:tcPr>
                <w:p>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93.</w:t>
                  </w:r>
                  <w:r>
                    <w:rPr>
                      <w:rFonts w:hint="default" w:ascii="Times New Roman" w:hAnsi="Times New Roman" w:eastAsia="仿宋_GB2312" w:cs="Times New Roman"/>
                      <w:color w:val="auto"/>
                      <w:sz w:val="21"/>
                      <w:szCs w:val="21"/>
                      <w:lang w:val="en-US" w:eastAsia="zh-CN"/>
                    </w:rPr>
                    <w:t>8</w:t>
                  </w:r>
                  <w:r>
                    <w:rPr>
                      <w:rFonts w:hint="default" w:ascii="Times New Roman" w:hAnsi="Times New Roman" w:eastAsia="仿宋_GB2312" w:cs="Times New Roman"/>
                      <w:color w:val="auto"/>
                      <w:sz w:val="21"/>
                      <w:szCs w:val="21"/>
                    </w:rPr>
                    <w:t>dB</w:t>
                  </w:r>
                </w:p>
              </w:tc>
              <w:tc>
                <w:tcPr>
                  <w:tcW w:w="1026" w:type="dxa"/>
                  <w:noWrap w:val="0"/>
                  <w:vAlign w:val="center"/>
                </w:tcPr>
                <w:p>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lang w:val="en-US" w:eastAsia="zh-CN"/>
                    </w:rPr>
                    <w:t>0</w:t>
                  </w:r>
                </w:p>
              </w:tc>
              <w:tc>
                <w:tcPr>
                  <w:tcW w:w="1236" w:type="dxa"/>
                  <w:noWrap w:val="0"/>
                  <w:vAlign w:val="center"/>
                </w:tcPr>
                <w:p>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±0.5dB</w:t>
                  </w:r>
                </w:p>
              </w:tc>
              <w:tc>
                <w:tcPr>
                  <w:tcW w:w="1190" w:type="dxa"/>
                  <w:noWrap w:val="0"/>
                  <w:vAlign w:val="center"/>
                </w:tcPr>
                <w:p>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是</w:t>
                  </w:r>
                </w:p>
              </w:tc>
            </w:tr>
            <w:tr>
              <w:tblPrEx>
                <w:tblBorders>
                  <w:top w:val="thinThickSmallGap" w:color="000000" w:sz="12" w:space="0"/>
                  <w:left w:val="none" w:color="auto" w:sz="0" w:space="0"/>
                  <w:bottom w:val="thickThinSmallGap"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817" w:type="dxa"/>
                  <w:vMerge w:val="continue"/>
                  <w:noWrap w:val="0"/>
                  <w:vAlign w:val="center"/>
                </w:tcPr>
                <w:p>
                  <w:pPr>
                    <w:jc w:val="center"/>
                    <w:rPr>
                      <w:rFonts w:hint="eastAsia" w:ascii="仿宋_GB2312" w:hAnsi="仿宋_GB2312" w:eastAsia="仿宋_GB2312" w:cs="仿宋_GB2312"/>
                      <w:color w:val="auto"/>
                      <w:sz w:val="21"/>
                      <w:szCs w:val="21"/>
                    </w:rPr>
                  </w:pPr>
                </w:p>
              </w:tc>
              <w:tc>
                <w:tcPr>
                  <w:tcW w:w="1701" w:type="dxa"/>
                  <w:noWrap w:val="0"/>
                  <w:vAlign w:val="center"/>
                </w:tcPr>
                <w:p>
                  <w:pPr>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2021.5.27</w:t>
                  </w:r>
                </w:p>
              </w:tc>
              <w:tc>
                <w:tcPr>
                  <w:tcW w:w="1276" w:type="dxa"/>
                  <w:noWrap w:val="0"/>
                  <w:vAlign w:val="center"/>
                </w:tcPr>
                <w:p>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93.8dB</w:t>
                  </w:r>
                </w:p>
              </w:tc>
              <w:tc>
                <w:tcPr>
                  <w:tcW w:w="1276" w:type="dxa"/>
                  <w:noWrap w:val="0"/>
                  <w:vAlign w:val="center"/>
                </w:tcPr>
                <w:p>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93.</w:t>
                  </w:r>
                  <w:r>
                    <w:rPr>
                      <w:rFonts w:hint="default" w:ascii="Times New Roman" w:hAnsi="Times New Roman" w:eastAsia="仿宋_GB2312" w:cs="Times New Roman"/>
                      <w:color w:val="auto"/>
                      <w:sz w:val="21"/>
                      <w:szCs w:val="21"/>
                      <w:lang w:val="en-US" w:eastAsia="zh-CN"/>
                    </w:rPr>
                    <w:t>8</w:t>
                  </w:r>
                  <w:r>
                    <w:rPr>
                      <w:rFonts w:hint="default" w:ascii="Times New Roman" w:hAnsi="Times New Roman" w:eastAsia="仿宋_GB2312" w:cs="Times New Roman"/>
                      <w:color w:val="auto"/>
                      <w:sz w:val="21"/>
                      <w:szCs w:val="21"/>
                    </w:rPr>
                    <w:t>dB</w:t>
                  </w:r>
                </w:p>
              </w:tc>
              <w:tc>
                <w:tcPr>
                  <w:tcW w:w="1026" w:type="dxa"/>
                  <w:noWrap w:val="0"/>
                  <w:vAlign w:val="center"/>
                </w:tcPr>
                <w:p>
                  <w:pPr>
                    <w:jc w:val="center"/>
                    <w:rPr>
                      <w:rFonts w:hint="default" w:ascii="Times New Roman" w:hAnsi="Times New Roman" w:eastAsia="仿宋_GB2312" w:cs="Times New Roman"/>
                      <w:color w:val="auto"/>
                      <w:sz w:val="21"/>
                      <w:szCs w:val="21"/>
                      <w:lang w:eastAsia="zh-CN"/>
                    </w:rPr>
                  </w:pPr>
                  <w:r>
                    <w:rPr>
                      <w:rFonts w:hint="default" w:ascii="Times New Roman" w:hAnsi="Times New Roman" w:eastAsia="仿宋_GB2312" w:cs="Times New Roman"/>
                      <w:color w:val="auto"/>
                      <w:sz w:val="21"/>
                      <w:szCs w:val="21"/>
                      <w:lang w:val="en-US" w:eastAsia="zh-CN"/>
                    </w:rPr>
                    <w:t>0</w:t>
                  </w:r>
                </w:p>
              </w:tc>
              <w:tc>
                <w:tcPr>
                  <w:tcW w:w="1236" w:type="dxa"/>
                  <w:noWrap w:val="0"/>
                  <w:vAlign w:val="center"/>
                </w:tcPr>
                <w:p>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±0.5dB</w:t>
                  </w:r>
                </w:p>
              </w:tc>
              <w:tc>
                <w:tcPr>
                  <w:tcW w:w="1190" w:type="dxa"/>
                  <w:noWrap w:val="0"/>
                  <w:vAlign w:val="center"/>
                </w:tcPr>
                <w:p>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是</w:t>
                  </w:r>
                </w:p>
              </w:tc>
            </w:tr>
          </w:tbl>
          <w:p>
            <w:pPr>
              <w:rPr>
                <w:rFonts w:hint="eastAsia" w:ascii="仿宋_GB2312" w:hAnsi="仿宋_GB2312" w:eastAsia="仿宋_GB2312" w:cs="仿宋_GB2312"/>
                <w:b/>
                <w:bCs/>
                <w:color w:val="auto"/>
                <w:sz w:val="28"/>
                <w:highlight w:val="none"/>
                <w:lang w:eastAsia="zh-CN"/>
              </w:rPr>
            </w:pPr>
          </w:p>
          <w:p>
            <w:pPr>
              <w:rPr>
                <w:rFonts w:hint="eastAsia" w:ascii="仿宋_GB2312" w:hAnsi="仿宋_GB2312" w:eastAsia="仿宋_GB2312" w:cs="仿宋_GB2312"/>
                <w:b/>
                <w:bCs/>
                <w:color w:val="auto"/>
                <w:sz w:val="28"/>
                <w:highlight w:val="none"/>
                <w:lang w:eastAsia="zh-CN"/>
              </w:rPr>
            </w:pPr>
          </w:p>
          <w:p>
            <w:pPr>
              <w:rPr>
                <w:rFonts w:hint="eastAsia" w:ascii="仿宋_GB2312" w:hAnsi="仿宋_GB2312" w:eastAsia="仿宋_GB2312" w:cs="仿宋_GB2312"/>
                <w:b/>
                <w:bCs/>
                <w:color w:val="auto"/>
                <w:sz w:val="28"/>
                <w:highlight w:val="none"/>
                <w:lang w:eastAsia="zh-CN"/>
              </w:rPr>
            </w:pPr>
          </w:p>
          <w:p>
            <w:pPr>
              <w:rPr>
                <w:rFonts w:hint="eastAsia" w:ascii="仿宋_GB2312" w:hAnsi="仿宋_GB2312" w:eastAsia="仿宋_GB2312" w:cs="仿宋_GB2312"/>
                <w:b/>
                <w:bCs/>
                <w:color w:val="auto"/>
                <w:sz w:val="28"/>
                <w:highlight w:val="none"/>
                <w:lang w:eastAsia="zh-CN"/>
              </w:rPr>
            </w:pPr>
          </w:p>
        </w:tc>
      </w:tr>
    </w:tbl>
    <w:p>
      <w:pPr>
        <w:rPr>
          <w:rFonts w:hint="eastAsia" w:ascii="仿宋_GB2312" w:hAnsi="仿宋_GB2312" w:eastAsia="仿宋_GB2312" w:cs="仿宋_GB2312"/>
          <w:b/>
          <w:bCs/>
          <w:color w:val="auto"/>
          <w:sz w:val="28"/>
          <w:szCs w:val="28"/>
          <w:lang w:eastAsia="zh-CN"/>
        </w:rPr>
        <w:sectPr>
          <w:pgSz w:w="11906" w:h="16838"/>
          <w:pgMar w:top="1650" w:right="1800" w:bottom="1134" w:left="1800" w:header="851" w:footer="567" w:gutter="0"/>
          <w:pgBorders>
            <w:top w:val="none" w:sz="0" w:space="0"/>
            <w:left w:val="none" w:sz="0" w:space="0"/>
            <w:bottom w:val="none" w:sz="0" w:space="0"/>
            <w:right w:val="none" w:sz="0" w:space="0"/>
          </w:pgBorders>
          <w:pgNumType w:fmt="numberInDash"/>
          <w:cols w:space="720" w:num="1"/>
          <w:rtlGutter w:val="0"/>
          <w:docGrid w:type="lines" w:linePitch="312" w:charSpace="0"/>
        </w:sectPr>
      </w:pPr>
    </w:p>
    <w:p>
      <w:pPr>
        <w:pStyle w:val="4"/>
        <w:keepNext/>
        <w:keepLines/>
        <w:pageBreakBefore w:val="0"/>
        <w:widowControl w:val="0"/>
        <w:kinsoku/>
        <w:wordWrap/>
        <w:overflowPunct/>
        <w:topLinePunct w:val="0"/>
        <w:autoSpaceDE/>
        <w:autoSpaceDN/>
        <w:bidi w:val="0"/>
        <w:adjustRightInd/>
        <w:snapToGrid w:val="0"/>
        <w:spacing w:line="240" w:lineRule="auto"/>
        <w:textAlignment w:val="baseline"/>
        <w:rPr>
          <w:rFonts w:hint="eastAsia"/>
          <w:color w:val="auto"/>
          <w:lang w:eastAsia="zh-CN"/>
        </w:rPr>
      </w:pPr>
      <w:r>
        <w:rPr>
          <w:rFonts w:hint="eastAsia"/>
          <w:color w:val="auto"/>
          <w:lang w:eastAsia="zh-CN"/>
        </w:rPr>
        <w:t>表六</w:t>
      </w:r>
    </w:p>
    <w:tbl>
      <w:tblPr>
        <w:tblStyle w:val="17"/>
        <w:tblW w:w="0" w:type="auto"/>
        <w:tblInd w:w="-442"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354"/>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3045" w:hRule="atLeast"/>
        </w:trPr>
        <w:tc>
          <w:tcPr>
            <w:tcW w:w="9354"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bCs/>
                <w:color w:val="auto"/>
                <w:sz w:val="28"/>
                <w:szCs w:val="28"/>
                <w:lang w:eastAsia="zh-CN"/>
              </w:rPr>
            </w:pPr>
            <w:bookmarkStart w:id="2" w:name="_Toc14025"/>
            <w:r>
              <w:rPr>
                <w:rFonts w:hint="eastAsia" w:ascii="仿宋_GB2312" w:hAnsi="仿宋_GB2312" w:eastAsia="仿宋_GB2312" w:cs="仿宋_GB2312"/>
                <w:b/>
                <w:bCs/>
                <w:color w:val="auto"/>
                <w:sz w:val="28"/>
                <w:szCs w:val="28"/>
                <w:lang w:eastAsia="zh-CN"/>
              </w:rPr>
              <w:t>验收监测内容：</w:t>
            </w:r>
          </w:p>
          <w:bookmarkEnd w:id="2"/>
          <w:p>
            <w:pPr>
              <w:pStyle w:val="5"/>
              <w:keepNext/>
              <w:keepLines/>
              <w:pageBreakBefore w:val="0"/>
              <w:widowControl w:val="0"/>
              <w:kinsoku/>
              <w:wordWrap/>
              <w:overflowPunct/>
              <w:topLinePunct w:val="0"/>
              <w:autoSpaceDE/>
              <w:autoSpaceDN/>
              <w:bidi w:val="0"/>
              <w:adjustRightInd w:val="0"/>
              <w:snapToGrid w:val="0"/>
              <w:spacing w:line="480" w:lineRule="exact"/>
              <w:ind w:left="0" w:leftChars="0" w:right="0" w:rightChars="0" w:firstLine="0" w:firstLineChars="0"/>
              <w:jc w:val="both"/>
              <w:textAlignment w:val="baseline"/>
              <w:outlineLvl w:val="1"/>
              <w:rPr>
                <w:rFonts w:hint="eastAsia" w:ascii="仿宋_GB2312" w:hAnsi="仿宋_GB2312" w:eastAsia="仿宋_GB2312" w:cs="仿宋_GB2312"/>
                <w:color w:val="auto"/>
                <w:lang w:eastAsia="zh-CN"/>
              </w:rPr>
            </w:pPr>
            <w:bookmarkStart w:id="3" w:name="_Toc25378"/>
            <w:r>
              <w:rPr>
                <w:rFonts w:hint="eastAsia" w:ascii="仿宋_GB2312" w:hAnsi="仿宋_GB2312" w:eastAsia="仿宋_GB2312" w:cs="仿宋_GB2312"/>
                <w:color w:val="auto"/>
                <w:lang w:eastAsia="zh-CN"/>
              </w:rPr>
              <w:t>废气</w:t>
            </w:r>
            <w:bookmarkEnd w:id="3"/>
            <w:r>
              <w:rPr>
                <w:rFonts w:hint="eastAsia" w:ascii="仿宋_GB2312" w:hAnsi="仿宋_GB2312" w:eastAsia="仿宋_GB2312" w:cs="仿宋_GB2312"/>
                <w:color w:val="auto"/>
                <w:lang w:eastAsia="zh-CN"/>
              </w:rPr>
              <w:t>：</w:t>
            </w:r>
          </w:p>
          <w:p>
            <w:pPr>
              <w:pageBreakBefore w:val="0"/>
              <w:widowControl/>
              <w:kinsoku/>
              <w:wordWrap/>
              <w:overflowPunct/>
              <w:topLinePunct w:val="0"/>
              <w:autoSpaceDE/>
              <w:autoSpaceDN/>
              <w:bidi w:val="0"/>
              <w:adjustRightInd w:val="0"/>
              <w:snapToGrid w:val="0"/>
              <w:spacing w:before="120" w:beforeLines="50" w:line="480" w:lineRule="exact"/>
              <w:ind w:firstLine="562" w:firstLineChars="200"/>
              <w:jc w:val="center"/>
              <w:rPr>
                <w:rFonts w:hint="eastAsia" w:ascii="仿宋_GB2312" w:hAnsi="仿宋_GB2312" w:eastAsia="仿宋_GB2312" w:cs="仿宋_GB2312"/>
                <w:b/>
                <w:color w:val="auto"/>
                <w:sz w:val="28"/>
                <w:szCs w:val="28"/>
                <w:lang w:eastAsia="zh-CN"/>
              </w:rPr>
            </w:pPr>
            <w:r>
              <w:rPr>
                <w:rFonts w:hint="eastAsia" w:ascii="仿宋_GB2312" w:hAnsi="仿宋_GB2312" w:eastAsia="仿宋_GB2312" w:cs="仿宋_GB2312"/>
                <w:b/>
                <w:color w:val="auto"/>
                <w:sz w:val="28"/>
                <w:szCs w:val="28"/>
                <w:lang w:eastAsia="zh-CN"/>
              </w:rPr>
              <w:t>废气监测方案</w:t>
            </w:r>
          </w:p>
          <w:tbl>
            <w:tblPr>
              <w:tblStyle w:val="16"/>
              <w:tblW w:w="918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3"/>
              <w:gridCol w:w="2950"/>
              <w:gridCol w:w="1137"/>
              <w:gridCol w:w="1509"/>
              <w:gridCol w:w="21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393"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320" w:lineRule="exact"/>
                    <w:jc w:val="center"/>
                    <w:textAlignment w:val="auto"/>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类别</w:t>
                  </w:r>
                </w:p>
              </w:tc>
              <w:tc>
                <w:tcPr>
                  <w:tcW w:w="295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320" w:lineRule="exact"/>
                    <w:jc w:val="center"/>
                    <w:textAlignment w:val="auto"/>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监测点位</w:t>
                  </w:r>
                </w:p>
              </w:tc>
              <w:tc>
                <w:tcPr>
                  <w:tcW w:w="1137"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320" w:lineRule="exact"/>
                    <w:jc w:val="center"/>
                    <w:textAlignment w:val="auto"/>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监测编号</w:t>
                  </w:r>
                </w:p>
              </w:tc>
              <w:tc>
                <w:tcPr>
                  <w:tcW w:w="1509"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320" w:lineRule="exact"/>
                    <w:jc w:val="center"/>
                    <w:textAlignment w:val="auto"/>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监测项目</w:t>
                  </w:r>
                </w:p>
              </w:tc>
              <w:tc>
                <w:tcPr>
                  <w:tcW w:w="2195"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320" w:lineRule="exact"/>
                    <w:jc w:val="center"/>
                    <w:textAlignment w:val="auto"/>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3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无组织废气</w:t>
                  </w:r>
                </w:p>
              </w:tc>
              <w:tc>
                <w:tcPr>
                  <w:tcW w:w="295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320" w:lineRule="exact"/>
                    <w:jc w:val="center"/>
                    <w:textAlignment w:val="auto"/>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rPr>
                    <w:t>根据气象参数在厂界</w:t>
                  </w:r>
                  <w:r>
                    <w:rPr>
                      <w:rFonts w:hint="eastAsia" w:ascii="仿宋_GB2312" w:hAnsi="仿宋_GB2312" w:eastAsia="仿宋_GB2312" w:cs="仿宋_GB2312"/>
                      <w:color w:val="auto"/>
                      <w:sz w:val="21"/>
                      <w:szCs w:val="21"/>
                      <w:lang w:eastAsia="zh-CN"/>
                    </w:rPr>
                    <w:t>上风向设置一个参照点，</w:t>
                  </w:r>
                  <w:r>
                    <w:rPr>
                      <w:rFonts w:hint="eastAsia" w:ascii="仿宋_GB2312" w:hAnsi="仿宋_GB2312" w:eastAsia="仿宋_GB2312" w:cs="仿宋_GB2312"/>
                      <w:color w:val="auto"/>
                      <w:sz w:val="21"/>
                      <w:szCs w:val="21"/>
                    </w:rPr>
                    <w:t>下风向设置3个监测点</w:t>
                  </w:r>
                  <w:r>
                    <w:rPr>
                      <w:rFonts w:hint="eastAsia" w:ascii="仿宋_GB2312" w:hAnsi="仿宋_GB2312" w:eastAsia="仿宋_GB2312" w:cs="仿宋_GB2312"/>
                      <w:color w:val="auto"/>
                      <w:sz w:val="21"/>
                      <w:szCs w:val="21"/>
                      <w:lang w:eastAsia="zh-CN"/>
                    </w:rPr>
                    <w:t>，吸塑车间外下风向设置</w:t>
                  </w:r>
                  <w:r>
                    <w:rPr>
                      <w:rFonts w:hint="eastAsia" w:ascii="仿宋_GB2312" w:hAnsi="仿宋_GB2312" w:eastAsia="仿宋_GB2312" w:cs="仿宋_GB2312"/>
                      <w:color w:val="auto"/>
                      <w:sz w:val="21"/>
                      <w:szCs w:val="21"/>
                      <w:lang w:val="en-US" w:eastAsia="zh-CN"/>
                    </w:rPr>
                    <w:t>1个监测点</w:t>
                  </w:r>
                </w:p>
              </w:tc>
              <w:tc>
                <w:tcPr>
                  <w:tcW w:w="1137"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320" w:lineRule="exact"/>
                    <w:jc w:val="center"/>
                    <w:textAlignment w:val="auto"/>
                    <w:rPr>
                      <w:rFonts w:hint="default" w:ascii="仿宋_GB2312" w:hAnsi="仿宋_GB2312" w:eastAsia="仿宋_GB2312" w:cs="仿宋_GB2312"/>
                      <w:color w:val="auto"/>
                      <w:sz w:val="21"/>
                      <w:szCs w:val="21"/>
                      <w:lang w:val="en-US" w:eastAsia="zh-CN"/>
                    </w:rPr>
                  </w:pPr>
                  <w:r>
                    <w:rPr>
                      <w:rFonts w:hint="default" w:ascii="Times New Roman" w:hAnsi="Times New Roman" w:eastAsia="仿宋_GB2312" w:cs="Times New Roman"/>
                      <w:color w:val="auto"/>
                      <w:sz w:val="36"/>
                      <w:szCs w:val="36"/>
                      <w:lang w:eastAsia="zh-CN"/>
                    </w:rPr>
                    <w:t>○</w:t>
                  </w:r>
                  <w:r>
                    <w:rPr>
                      <w:rFonts w:hint="eastAsia" w:ascii="仿宋_GB2312" w:hAnsi="仿宋_GB2312" w:eastAsia="仿宋_GB2312" w:cs="仿宋_GB2312"/>
                      <w:color w:val="auto"/>
                      <w:sz w:val="21"/>
                      <w:szCs w:val="21"/>
                    </w:rPr>
                    <w:t>G</w:t>
                  </w:r>
                  <w:r>
                    <w:rPr>
                      <w:rFonts w:hint="eastAsia" w:ascii="仿宋_GB2312" w:hAnsi="仿宋_GB2312" w:eastAsia="仿宋_GB2312" w:cs="仿宋_GB2312"/>
                      <w:color w:val="auto"/>
                      <w:sz w:val="21"/>
                      <w:szCs w:val="21"/>
                      <w:lang w:val="en-US" w:eastAsia="zh-CN"/>
                    </w:rPr>
                    <w:t>1</w:t>
                  </w:r>
                  <w:r>
                    <w:rPr>
                      <w:rFonts w:hint="default" w:ascii="Times New Roman" w:hAnsi="Times New Roman" w:eastAsia="仿宋_GB2312" w:cs="Times New Roman"/>
                      <w:color w:val="auto"/>
                      <w:sz w:val="21"/>
                      <w:szCs w:val="21"/>
                      <w:lang w:val="en-US" w:eastAsia="zh-CN"/>
                    </w:rPr>
                    <w:t>~</w:t>
                  </w:r>
                  <w:r>
                    <w:rPr>
                      <w:rFonts w:hint="eastAsia" w:ascii="仿宋_GB2312" w:hAnsi="仿宋_GB2312" w:eastAsia="仿宋_GB2312" w:cs="仿宋_GB2312"/>
                      <w:color w:val="auto"/>
                      <w:sz w:val="21"/>
                      <w:szCs w:val="21"/>
                    </w:rPr>
                    <w:t>G</w:t>
                  </w:r>
                  <w:r>
                    <w:rPr>
                      <w:rFonts w:hint="eastAsia" w:ascii="仿宋_GB2312" w:hAnsi="仿宋_GB2312" w:eastAsia="仿宋_GB2312" w:cs="仿宋_GB2312"/>
                      <w:color w:val="auto"/>
                      <w:sz w:val="21"/>
                      <w:szCs w:val="21"/>
                      <w:lang w:val="en-US" w:eastAsia="zh-CN"/>
                    </w:rPr>
                    <w:t>4</w:t>
                  </w:r>
                </w:p>
              </w:tc>
              <w:tc>
                <w:tcPr>
                  <w:tcW w:w="1509"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320" w:lineRule="exact"/>
                    <w:jc w:val="center"/>
                    <w:textAlignment w:val="auto"/>
                    <w:rPr>
                      <w:rFonts w:hint="eastAsia" w:ascii="仿宋_GB2312" w:hAnsi="仿宋_GB2312" w:eastAsia="仿宋_GB2312" w:cs="仿宋_GB2312"/>
                      <w:color w:val="auto"/>
                      <w:sz w:val="21"/>
                      <w:szCs w:val="21"/>
                      <w:lang w:val="en-US"/>
                    </w:rPr>
                  </w:pPr>
                  <w:r>
                    <w:rPr>
                      <w:rFonts w:hint="eastAsia" w:ascii="仿宋_GB2312" w:hAnsi="仿宋_GB2312" w:eastAsia="仿宋_GB2312" w:cs="仿宋_GB2312"/>
                      <w:color w:val="auto"/>
                      <w:sz w:val="21"/>
                      <w:szCs w:val="21"/>
                      <w:lang w:val="en-US" w:eastAsia="zh-CN"/>
                    </w:rPr>
                    <w:t>颗粒物</w:t>
                  </w:r>
                </w:p>
              </w:tc>
              <w:tc>
                <w:tcPr>
                  <w:tcW w:w="219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3</w:t>
                  </w:r>
                  <w:r>
                    <w:rPr>
                      <w:rFonts w:hint="eastAsia" w:ascii="仿宋_GB2312" w:hAnsi="仿宋_GB2312" w:eastAsia="仿宋_GB2312" w:cs="仿宋_GB2312"/>
                      <w:color w:val="auto"/>
                      <w:sz w:val="21"/>
                      <w:szCs w:val="21"/>
                    </w:rPr>
                    <w:t>次/天</w:t>
                  </w:r>
                  <w:r>
                    <w:rPr>
                      <w:rFonts w:hint="eastAsia" w:ascii="仿宋_GB2312" w:hAnsi="仿宋_GB2312" w:eastAsia="仿宋_GB2312" w:cs="仿宋_GB2312"/>
                      <w:color w:val="auto"/>
                      <w:sz w:val="21"/>
                      <w:szCs w:val="21"/>
                      <w:lang w:val="en-US" w:eastAsia="zh-CN"/>
                    </w:rPr>
                    <w:t>,</w:t>
                  </w:r>
                  <w:r>
                    <w:rPr>
                      <w:rFonts w:hint="eastAsia" w:ascii="仿宋_GB2312" w:hAnsi="仿宋_GB2312" w:eastAsia="仿宋_GB2312" w:cs="仿宋_GB2312"/>
                      <w:color w:val="auto"/>
                      <w:sz w:val="21"/>
                      <w:szCs w:val="21"/>
                    </w:rPr>
                    <w:t>连续2天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3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气象参数</w:t>
                  </w:r>
                </w:p>
              </w:tc>
              <w:tc>
                <w:tcPr>
                  <w:tcW w:w="7791"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spacing w:line="320" w:lineRule="exact"/>
                    <w:jc w:val="left"/>
                    <w:textAlignment w:val="auto"/>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rPr>
                    <w:t>详细记录天气状况、风向、风速、大气压等气象参数</w:t>
                  </w:r>
                  <w:r>
                    <w:rPr>
                      <w:rFonts w:hint="eastAsia" w:ascii="仿宋_GB2312" w:hAnsi="仿宋_GB2312" w:eastAsia="仿宋_GB2312" w:cs="仿宋_GB2312"/>
                      <w:color w:val="auto"/>
                      <w:sz w:val="21"/>
                      <w:szCs w:val="21"/>
                      <w:lang w:eastAsia="zh-CN"/>
                    </w:rPr>
                    <w:t>。</w:t>
                  </w:r>
                </w:p>
              </w:tc>
            </w:tr>
          </w:tbl>
          <w:p>
            <w:pPr>
              <w:keepNext/>
              <w:keepLines/>
              <w:pageBreakBefore w:val="0"/>
              <w:widowControl w:val="0"/>
              <w:kinsoku/>
              <w:wordWrap/>
              <w:overflowPunct/>
              <w:topLinePunct w:val="0"/>
              <w:autoSpaceDE/>
              <w:autoSpaceDN/>
              <w:bidi w:val="0"/>
              <w:adjustRightInd w:val="0"/>
              <w:snapToGrid w:val="0"/>
              <w:spacing w:line="320" w:lineRule="exact"/>
              <w:textAlignment w:val="baseline"/>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注：本项目废气监测布点位置见附图。</w:t>
            </w:r>
          </w:p>
          <w:p>
            <w:pPr>
              <w:pStyle w:val="5"/>
              <w:keepNext/>
              <w:keepLines/>
              <w:pageBreakBefore w:val="0"/>
              <w:widowControl w:val="0"/>
              <w:kinsoku/>
              <w:wordWrap/>
              <w:overflowPunct/>
              <w:topLinePunct w:val="0"/>
              <w:autoSpaceDE/>
              <w:autoSpaceDN/>
              <w:bidi w:val="0"/>
              <w:adjustRightInd w:val="0"/>
              <w:snapToGrid w:val="0"/>
              <w:spacing w:line="480" w:lineRule="exact"/>
              <w:ind w:left="0" w:leftChars="0" w:right="0" w:rightChars="0" w:firstLine="0" w:firstLineChars="0"/>
              <w:jc w:val="both"/>
              <w:textAlignment w:val="baseline"/>
              <w:outlineLvl w:val="1"/>
              <w:rPr>
                <w:rFonts w:hint="eastAsia" w:ascii="仿宋_GB2312" w:hAnsi="仿宋_GB2312" w:eastAsia="仿宋_GB2312" w:cs="仿宋_GB2312"/>
                <w:color w:val="auto"/>
                <w:lang w:eastAsia="zh-CN"/>
              </w:rPr>
            </w:pPr>
            <w:bookmarkStart w:id="4" w:name="_Toc30878"/>
            <w:r>
              <w:rPr>
                <w:rFonts w:hint="eastAsia" w:ascii="仿宋_GB2312" w:hAnsi="仿宋_GB2312" w:eastAsia="仿宋_GB2312" w:cs="仿宋_GB2312"/>
                <w:color w:val="auto"/>
                <w:lang w:eastAsia="zh-CN"/>
              </w:rPr>
              <w:t>噪声</w:t>
            </w:r>
            <w:bookmarkEnd w:id="4"/>
            <w:r>
              <w:rPr>
                <w:rFonts w:hint="eastAsia" w:ascii="仿宋_GB2312" w:hAnsi="仿宋_GB2312" w:eastAsia="仿宋_GB2312" w:cs="仿宋_GB2312"/>
                <w:color w:val="auto"/>
                <w:lang w:eastAsia="zh-CN"/>
              </w:rPr>
              <w:t>：</w:t>
            </w:r>
          </w:p>
          <w:p>
            <w:pPr>
              <w:pageBreakBefore w:val="0"/>
              <w:widowControl/>
              <w:kinsoku/>
              <w:wordWrap/>
              <w:overflowPunct/>
              <w:topLinePunct w:val="0"/>
              <w:autoSpaceDE/>
              <w:autoSpaceDN/>
              <w:bidi w:val="0"/>
              <w:adjustRightInd w:val="0"/>
              <w:snapToGrid w:val="0"/>
              <w:spacing w:before="120" w:beforeLines="50" w:line="480" w:lineRule="exact"/>
              <w:ind w:firstLine="562" w:firstLineChars="200"/>
              <w:jc w:val="center"/>
              <w:rPr>
                <w:rFonts w:hint="eastAsia" w:ascii="仿宋_GB2312" w:hAnsi="仿宋_GB2312" w:eastAsia="仿宋_GB2312" w:cs="仿宋_GB2312"/>
                <w:b/>
                <w:color w:val="auto"/>
                <w:sz w:val="28"/>
                <w:szCs w:val="28"/>
                <w:lang w:eastAsia="zh-CN"/>
              </w:rPr>
            </w:pPr>
            <w:r>
              <w:rPr>
                <w:rFonts w:hint="eastAsia" w:ascii="仿宋_GB2312" w:hAnsi="仿宋_GB2312" w:eastAsia="仿宋_GB2312" w:cs="仿宋_GB2312"/>
                <w:b/>
                <w:color w:val="auto"/>
                <w:sz w:val="28"/>
                <w:szCs w:val="28"/>
                <w:lang w:val="en-US" w:eastAsia="zh-CN"/>
              </w:rPr>
              <w:t xml:space="preserve"> </w:t>
            </w:r>
            <w:r>
              <w:rPr>
                <w:rFonts w:hint="eastAsia" w:ascii="仿宋_GB2312" w:hAnsi="仿宋_GB2312" w:eastAsia="仿宋_GB2312" w:cs="仿宋_GB2312"/>
                <w:b/>
                <w:color w:val="auto"/>
                <w:sz w:val="28"/>
                <w:szCs w:val="28"/>
                <w:lang w:eastAsia="zh-CN"/>
              </w:rPr>
              <w:t>噪声监测方案</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17"/>
              <w:gridCol w:w="1649"/>
              <w:gridCol w:w="2067"/>
              <w:gridCol w:w="21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33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监测点位</w:t>
                  </w:r>
                </w:p>
              </w:tc>
              <w:tc>
                <w:tcPr>
                  <w:tcW w:w="164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监测编号</w:t>
                  </w:r>
                </w:p>
              </w:tc>
              <w:tc>
                <w:tcPr>
                  <w:tcW w:w="20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监测内容</w:t>
                  </w:r>
                </w:p>
              </w:tc>
              <w:tc>
                <w:tcPr>
                  <w:tcW w:w="2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33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厂界东、南、西、北外1米各设一个监测点(N1～N4)</w:t>
                  </w:r>
                </w:p>
              </w:tc>
              <w:tc>
                <w:tcPr>
                  <w:tcW w:w="164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N1</w:t>
                  </w:r>
                  <w:r>
                    <w:rPr>
                      <w:rFonts w:hint="eastAsia" w:ascii="仿宋_GB2312" w:hAnsi="仿宋_GB2312" w:eastAsia="仿宋_GB2312" w:cs="仿宋_GB2312"/>
                      <w:color w:val="auto"/>
                      <w:sz w:val="21"/>
                      <w:szCs w:val="21"/>
                      <w:lang w:val="en-US" w:eastAsia="zh-CN"/>
                    </w:rPr>
                    <w:t>-</w:t>
                  </w:r>
                  <w:r>
                    <w:rPr>
                      <w:rFonts w:hint="eastAsia" w:ascii="仿宋_GB2312" w:hAnsi="仿宋_GB2312" w:eastAsia="仿宋_GB2312" w:cs="仿宋_GB2312"/>
                      <w:color w:val="auto"/>
                      <w:sz w:val="21"/>
                      <w:szCs w:val="21"/>
                    </w:rPr>
                    <w:t>N4</w:t>
                  </w:r>
                </w:p>
              </w:tc>
              <w:tc>
                <w:tcPr>
                  <w:tcW w:w="20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等效声级</w:t>
                  </w:r>
                </w:p>
              </w:tc>
              <w:tc>
                <w:tcPr>
                  <w:tcW w:w="2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每天昼夜各1次</w:t>
                  </w:r>
                </w:p>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连续2天</w:t>
                  </w:r>
                </w:p>
              </w:tc>
            </w:tr>
          </w:tbl>
          <w:p>
            <w:pPr>
              <w:keepNext/>
              <w:keepLines/>
              <w:adjustRightInd w:val="0"/>
              <w:snapToGrid w:val="0"/>
              <w:spacing w:line="360" w:lineRule="auto"/>
              <w:textAlignment w:val="baseline"/>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注：本项目噪声监测布点位置见附图。</w:t>
            </w:r>
          </w:p>
          <w:p>
            <w:pPr>
              <w:keepNext/>
              <w:keepLines/>
              <w:adjustRightInd w:val="0"/>
              <w:snapToGrid w:val="0"/>
              <w:spacing w:line="360" w:lineRule="auto"/>
              <w:textAlignment w:val="baseline"/>
              <w:rPr>
                <w:rFonts w:hint="eastAsia" w:ascii="仿宋_GB2312" w:hAnsi="仿宋_GB2312" w:eastAsia="仿宋_GB2312" w:cs="仿宋_GB2312"/>
                <w:color w:val="auto"/>
                <w:sz w:val="21"/>
                <w:szCs w:val="21"/>
                <w:lang w:val="en-US" w:eastAsia="zh-CN"/>
              </w:rPr>
            </w:pPr>
          </w:p>
        </w:tc>
      </w:tr>
    </w:tbl>
    <w:p>
      <w:pPr>
        <w:pStyle w:val="4"/>
        <w:keepNext/>
        <w:keepLines/>
        <w:pageBreakBefore w:val="0"/>
        <w:widowControl w:val="0"/>
        <w:kinsoku/>
        <w:wordWrap/>
        <w:overflowPunct/>
        <w:topLinePunct w:val="0"/>
        <w:autoSpaceDE/>
        <w:autoSpaceDN/>
        <w:bidi w:val="0"/>
        <w:adjustRightInd/>
        <w:snapToGrid w:val="0"/>
        <w:spacing w:line="240" w:lineRule="auto"/>
        <w:textAlignment w:val="baseline"/>
        <w:rPr>
          <w:rFonts w:hint="eastAsia"/>
          <w:color w:val="auto"/>
          <w:lang w:eastAsia="zh-CN"/>
        </w:rPr>
      </w:pPr>
      <w:r>
        <w:rPr>
          <w:rFonts w:hint="eastAsia"/>
          <w:color w:val="auto"/>
          <w:lang w:eastAsia="zh-CN"/>
        </w:rPr>
        <w:t>表七</w:t>
      </w:r>
    </w:p>
    <w:tbl>
      <w:tblPr>
        <w:tblStyle w:val="17"/>
        <w:tblW w:w="9383"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9408"/>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PrEx>
        <w:trPr>
          <w:trHeight w:val="11665" w:hRule="atLeast"/>
          <w:jc w:val="center"/>
        </w:trPr>
        <w:tc>
          <w:tcPr>
            <w:tcW w:w="9383" w:type="dxa"/>
            <w:tcBorders>
              <w:bottom w:val="single" w:color="auto" w:sz="8" w:space="0"/>
            </w:tcBorders>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rPr>
                <w:rFonts w:hint="eastAsia"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验收监测期间生产工况记录：</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560" w:firstLineChars="200"/>
              <w:jc w:val="both"/>
              <w:textAlignment w:val="auto"/>
              <w:outlineLvl w:val="9"/>
              <w:rPr>
                <w:rFonts w:hint="eastAsia" w:ascii="仿宋_GB2312" w:hAnsi="仿宋_GB2312" w:eastAsia="仿宋_GB2312" w:cs="仿宋_GB2312"/>
                <w:b/>
                <w:color w:val="auto"/>
                <w:sz w:val="28"/>
                <w:szCs w:val="28"/>
              </w:rPr>
            </w:pPr>
            <w:r>
              <w:rPr>
                <w:rFonts w:hint="eastAsia" w:ascii="仿宋_GB2312" w:hAnsi="仿宋_GB2312" w:eastAsia="仿宋_GB2312" w:cs="仿宋_GB2312"/>
                <w:color w:val="auto"/>
                <w:sz w:val="28"/>
                <w:szCs w:val="28"/>
              </w:rPr>
              <w:t>监测期间该项目正常运行，全年生产天数以</w:t>
            </w:r>
            <w:r>
              <w:rPr>
                <w:rFonts w:hint="eastAsia" w:ascii="仿宋_GB2312" w:hAnsi="仿宋_GB2312" w:eastAsia="仿宋_GB2312" w:cs="仿宋_GB2312"/>
                <w:color w:val="auto"/>
                <w:sz w:val="28"/>
                <w:szCs w:val="28"/>
                <w:lang w:val="en-US" w:eastAsia="zh-CN"/>
              </w:rPr>
              <w:t>300</w:t>
            </w:r>
            <w:r>
              <w:rPr>
                <w:rFonts w:hint="eastAsia" w:ascii="仿宋_GB2312" w:hAnsi="仿宋_GB2312" w:eastAsia="仿宋_GB2312" w:cs="仿宋_GB2312"/>
                <w:color w:val="auto"/>
                <w:sz w:val="28"/>
                <w:szCs w:val="28"/>
              </w:rPr>
              <w:t>天计</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highlight w:val="none"/>
                <w:lang w:eastAsia="zh-CN"/>
              </w:rPr>
              <w:t>我公司</w:t>
            </w:r>
            <w:r>
              <w:rPr>
                <w:rFonts w:hint="eastAsia" w:ascii="仿宋_GB2312" w:hAnsi="仿宋_GB2312" w:eastAsia="仿宋_GB2312" w:cs="仿宋_GB2312"/>
                <w:color w:val="auto"/>
                <w:sz w:val="28"/>
                <w:szCs w:val="28"/>
                <w:highlight w:val="none"/>
                <w:lang w:val="en-US" w:eastAsia="zh-CN"/>
              </w:rPr>
              <w:t>对</w:t>
            </w:r>
            <w:r>
              <w:rPr>
                <w:rFonts w:hint="eastAsia" w:ascii="仿宋_GB2312" w:hAnsi="仿宋_GB2312" w:eastAsia="仿宋_GB2312" w:cs="仿宋_GB2312"/>
                <w:color w:val="auto"/>
                <w:sz w:val="28"/>
                <w:szCs w:val="28"/>
                <w:lang w:eastAsia="zh-CN"/>
              </w:rPr>
              <w:t>明光市沪光建筑材料有限公司《</w:t>
            </w:r>
            <w:r>
              <w:rPr>
                <w:rFonts w:hint="eastAsia" w:ascii="仿宋_GB2312" w:hAnsi="仿宋_GB2312" w:eastAsia="仿宋_GB2312" w:cs="仿宋_GB2312"/>
                <w:color w:val="auto"/>
                <w:sz w:val="28"/>
                <w:szCs w:val="28"/>
                <w:lang w:val="en-US" w:eastAsia="zh-CN"/>
              </w:rPr>
              <w:t>年产30万立方预拌砂浆、商品混凝土、15万立方PC预制构件项目</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highlight w:val="none"/>
                <w:lang w:eastAsia="zh-CN"/>
              </w:rPr>
              <w:t>于</w:t>
            </w:r>
            <w:r>
              <w:rPr>
                <w:rFonts w:hint="eastAsia" w:ascii="仿宋_GB2312" w:hAnsi="仿宋_GB2312" w:eastAsia="仿宋_GB2312" w:cs="仿宋_GB2312"/>
                <w:color w:val="auto"/>
                <w:sz w:val="28"/>
                <w:szCs w:val="28"/>
                <w:highlight w:val="none"/>
              </w:rPr>
              <w:t>20</w:t>
            </w:r>
            <w:r>
              <w:rPr>
                <w:rFonts w:hint="eastAsia" w:ascii="仿宋_GB2312" w:hAnsi="仿宋_GB2312" w:eastAsia="仿宋_GB2312" w:cs="仿宋_GB2312"/>
                <w:color w:val="auto"/>
                <w:sz w:val="28"/>
                <w:szCs w:val="28"/>
                <w:highlight w:val="none"/>
                <w:lang w:val="en-US" w:eastAsia="zh-CN"/>
              </w:rPr>
              <w:t>21年5月26日～27日进行了</w:t>
            </w:r>
            <w:r>
              <w:rPr>
                <w:rFonts w:hint="eastAsia" w:ascii="仿宋_GB2312" w:hAnsi="仿宋_GB2312" w:eastAsia="仿宋_GB2312" w:cs="仿宋_GB2312"/>
                <w:color w:val="auto"/>
                <w:sz w:val="28"/>
                <w:szCs w:val="28"/>
                <w:lang w:val="en-US" w:eastAsia="zh-CN"/>
              </w:rPr>
              <w:t>废气和噪声</w:t>
            </w:r>
            <w:r>
              <w:rPr>
                <w:rFonts w:hint="eastAsia" w:ascii="仿宋_GB2312" w:hAnsi="仿宋_GB2312" w:eastAsia="仿宋_GB2312" w:cs="仿宋_GB2312"/>
                <w:color w:val="auto"/>
                <w:sz w:val="28"/>
                <w:szCs w:val="28"/>
              </w:rPr>
              <w:t>验收监测</w:t>
            </w:r>
            <w:r>
              <w:rPr>
                <w:rFonts w:hint="eastAsia" w:ascii="仿宋_GB2312" w:hAnsi="仿宋_GB2312" w:eastAsia="仿宋_GB2312" w:cs="仿宋_GB2312"/>
                <w:color w:val="auto"/>
                <w:sz w:val="28"/>
                <w:szCs w:val="28"/>
                <w:lang w:eastAsia="zh-CN"/>
              </w:rPr>
              <w:t>。验收监测期间，项目</w:t>
            </w:r>
            <w:r>
              <w:rPr>
                <w:rFonts w:hint="eastAsia" w:ascii="仿宋_GB2312" w:hAnsi="仿宋_GB2312" w:eastAsia="仿宋_GB2312" w:cs="仿宋_GB2312"/>
                <w:color w:val="auto"/>
                <w:sz w:val="28"/>
                <w:szCs w:val="28"/>
              </w:rPr>
              <w:t>生产</w:t>
            </w:r>
            <w:r>
              <w:rPr>
                <w:rFonts w:hint="eastAsia" w:ascii="仿宋_GB2312" w:hAnsi="仿宋_GB2312" w:eastAsia="仿宋_GB2312" w:cs="仿宋_GB2312"/>
                <w:color w:val="auto"/>
                <w:sz w:val="28"/>
                <w:szCs w:val="28"/>
                <w:lang w:val="en-US" w:eastAsia="zh-CN"/>
              </w:rPr>
              <w:t>均</w:t>
            </w:r>
            <w:r>
              <w:rPr>
                <w:rFonts w:hint="eastAsia" w:ascii="仿宋_GB2312" w:hAnsi="仿宋_GB2312" w:eastAsia="仿宋_GB2312" w:cs="仿宋_GB2312"/>
                <w:color w:val="auto"/>
                <w:sz w:val="28"/>
                <w:szCs w:val="28"/>
              </w:rPr>
              <w:t>达到</w:t>
            </w:r>
            <w:r>
              <w:rPr>
                <w:rFonts w:hint="eastAsia" w:ascii="仿宋_GB2312" w:hAnsi="仿宋_GB2312" w:eastAsia="仿宋_GB2312" w:cs="仿宋_GB2312"/>
                <w:color w:val="auto"/>
                <w:sz w:val="28"/>
                <w:szCs w:val="28"/>
                <w:lang w:eastAsia="zh-CN"/>
              </w:rPr>
              <w:t>了</w:t>
            </w:r>
            <w:r>
              <w:rPr>
                <w:rFonts w:hint="eastAsia" w:ascii="仿宋_GB2312" w:hAnsi="仿宋_GB2312" w:eastAsia="仿宋_GB2312" w:cs="仿宋_GB2312"/>
                <w:color w:val="auto"/>
                <w:sz w:val="28"/>
                <w:szCs w:val="28"/>
              </w:rPr>
              <w:t>设计生产能力的</w:t>
            </w:r>
            <w:r>
              <w:rPr>
                <w:rFonts w:hint="eastAsia" w:ascii="仿宋_GB2312" w:hAnsi="仿宋_GB2312" w:eastAsia="仿宋_GB2312" w:cs="仿宋_GB2312"/>
                <w:color w:val="auto"/>
                <w:sz w:val="28"/>
                <w:szCs w:val="28"/>
                <w:lang w:val="en-US" w:eastAsia="zh-CN"/>
              </w:rPr>
              <w:t>75</w:t>
            </w:r>
            <w:r>
              <w:rPr>
                <w:rFonts w:hint="eastAsia" w:ascii="仿宋_GB2312" w:hAnsi="仿宋_GB2312" w:eastAsia="仿宋_GB2312" w:cs="仿宋_GB2312"/>
                <w:color w:val="auto"/>
                <w:sz w:val="28"/>
                <w:szCs w:val="28"/>
              </w:rPr>
              <w:t>%以上，监测期间该项目各项环保治理设施均处于运行状态，工况稳定，满足验收监测条件。具体工况见</w:t>
            </w:r>
            <w:r>
              <w:rPr>
                <w:rFonts w:hint="eastAsia" w:ascii="仿宋_GB2312" w:hAnsi="仿宋_GB2312" w:eastAsia="仿宋_GB2312" w:cs="仿宋_GB2312"/>
                <w:color w:val="auto"/>
                <w:sz w:val="28"/>
                <w:szCs w:val="28"/>
                <w:lang w:eastAsia="zh-CN"/>
              </w:rPr>
              <w:t>下</w:t>
            </w:r>
            <w:r>
              <w:rPr>
                <w:rFonts w:hint="eastAsia" w:ascii="仿宋_GB2312" w:hAnsi="仿宋_GB2312" w:eastAsia="仿宋_GB2312" w:cs="仿宋_GB2312"/>
                <w:color w:val="auto"/>
                <w:sz w:val="28"/>
                <w:szCs w:val="28"/>
              </w:rPr>
              <w:t>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验收监测期间生产负荷一览表</w:t>
            </w:r>
          </w:p>
          <w:tbl>
            <w:tblPr>
              <w:tblStyle w:val="16"/>
              <w:tblW w:w="918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0"/>
              <w:gridCol w:w="1553"/>
              <w:gridCol w:w="1573"/>
              <w:gridCol w:w="1423"/>
              <w:gridCol w:w="2028"/>
              <w:gridCol w:w="151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auto"/>
                      <w:sz w:val="21"/>
                      <w:szCs w:val="21"/>
                      <w:lang w:val="en-US" w:eastAsia="zh-CN"/>
                    </w:rPr>
                  </w:pPr>
                  <w:bookmarkStart w:id="5" w:name="_Toc267381916"/>
                  <w:bookmarkStart w:id="6" w:name="_Toc306007998"/>
                  <w:r>
                    <w:rPr>
                      <w:rFonts w:hint="eastAsia" w:ascii="仿宋_GB2312" w:hAnsi="仿宋_GB2312" w:eastAsia="仿宋_GB2312" w:cs="仿宋_GB2312"/>
                      <w:b/>
                      <w:bCs/>
                      <w:color w:val="auto"/>
                      <w:sz w:val="21"/>
                      <w:szCs w:val="21"/>
                      <w:lang w:val="en-US" w:eastAsia="zh-CN"/>
                    </w:rPr>
                    <w:t>名称</w:t>
                  </w:r>
                </w:p>
              </w:tc>
              <w:tc>
                <w:tcPr>
                  <w:tcW w:w="155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bCs/>
                      <w:color w:val="auto"/>
                      <w:sz w:val="21"/>
                      <w:szCs w:val="21"/>
                      <w:lang w:val="en-US" w:eastAsia="zh-CN"/>
                    </w:rPr>
                  </w:pPr>
                  <w:r>
                    <w:rPr>
                      <w:rFonts w:hint="eastAsia" w:ascii="仿宋_GB2312" w:hAnsi="仿宋_GB2312" w:eastAsia="仿宋_GB2312" w:cs="仿宋_GB2312"/>
                      <w:b/>
                      <w:bCs/>
                      <w:color w:val="auto"/>
                      <w:sz w:val="21"/>
                      <w:szCs w:val="21"/>
                      <w:lang w:val="en-US" w:eastAsia="zh-CN"/>
                    </w:rPr>
                    <w:t>设计年产量m</w:t>
                  </w:r>
                  <w:r>
                    <w:rPr>
                      <w:rFonts w:hint="eastAsia" w:ascii="仿宋_GB2312" w:hAnsi="仿宋_GB2312" w:eastAsia="仿宋_GB2312" w:cs="仿宋_GB2312"/>
                      <w:b/>
                      <w:bCs/>
                      <w:color w:val="auto"/>
                      <w:sz w:val="21"/>
                      <w:szCs w:val="21"/>
                      <w:vertAlign w:val="superscript"/>
                      <w:lang w:val="en-US" w:eastAsia="zh-CN"/>
                    </w:rPr>
                    <w:t>3</w:t>
                  </w:r>
                </w:p>
              </w:tc>
              <w:tc>
                <w:tcPr>
                  <w:tcW w:w="157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auto"/>
                      <w:sz w:val="21"/>
                      <w:szCs w:val="21"/>
                      <w:lang w:val="en-US" w:eastAsia="zh-CN"/>
                    </w:rPr>
                  </w:pPr>
                  <w:r>
                    <w:rPr>
                      <w:rFonts w:hint="eastAsia" w:ascii="仿宋_GB2312" w:hAnsi="仿宋_GB2312" w:eastAsia="仿宋_GB2312" w:cs="仿宋_GB2312"/>
                      <w:b/>
                      <w:bCs/>
                      <w:color w:val="auto"/>
                      <w:sz w:val="21"/>
                      <w:szCs w:val="21"/>
                      <w:lang w:val="en-US" w:eastAsia="zh-CN"/>
                    </w:rPr>
                    <w:t>设计日产量m</w:t>
                  </w:r>
                  <w:r>
                    <w:rPr>
                      <w:rFonts w:hint="eastAsia" w:ascii="仿宋_GB2312" w:hAnsi="仿宋_GB2312" w:eastAsia="仿宋_GB2312" w:cs="仿宋_GB2312"/>
                      <w:b/>
                      <w:bCs/>
                      <w:color w:val="auto"/>
                      <w:sz w:val="21"/>
                      <w:szCs w:val="21"/>
                      <w:vertAlign w:val="superscript"/>
                      <w:lang w:val="en-US" w:eastAsia="zh-CN"/>
                    </w:rPr>
                    <w:t>3</w:t>
                  </w:r>
                </w:p>
              </w:tc>
              <w:tc>
                <w:tcPr>
                  <w:tcW w:w="142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auto"/>
                      <w:sz w:val="21"/>
                      <w:szCs w:val="21"/>
                      <w:lang w:val="en-US" w:eastAsia="zh-CN"/>
                    </w:rPr>
                  </w:pPr>
                  <w:r>
                    <w:rPr>
                      <w:rFonts w:hint="eastAsia" w:ascii="仿宋_GB2312" w:hAnsi="仿宋_GB2312" w:eastAsia="仿宋_GB2312" w:cs="仿宋_GB2312"/>
                      <w:b/>
                      <w:bCs/>
                      <w:color w:val="auto"/>
                      <w:sz w:val="21"/>
                      <w:szCs w:val="21"/>
                      <w:lang w:val="en-US" w:eastAsia="zh-CN"/>
                    </w:rPr>
                    <w:t>监测日期</w:t>
                  </w:r>
                </w:p>
              </w:tc>
              <w:tc>
                <w:tcPr>
                  <w:tcW w:w="202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auto"/>
                      <w:sz w:val="21"/>
                      <w:szCs w:val="21"/>
                      <w:lang w:val="en-US" w:eastAsia="zh-CN"/>
                    </w:rPr>
                  </w:pPr>
                  <w:r>
                    <w:rPr>
                      <w:rFonts w:hint="eastAsia" w:ascii="仿宋_GB2312" w:hAnsi="仿宋_GB2312" w:eastAsia="仿宋_GB2312" w:cs="仿宋_GB2312"/>
                      <w:b/>
                      <w:bCs/>
                      <w:color w:val="auto"/>
                      <w:sz w:val="21"/>
                      <w:szCs w:val="21"/>
                      <w:lang w:val="en-US" w:eastAsia="zh-CN"/>
                    </w:rPr>
                    <w:t>验收监测期间产量</w:t>
                  </w:r>
                </w:p>
              </w:tc>
              <w:tc>
                <w:tcPr>
                  <w:tcW w:w="15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auto"/>
                      <w:sz w:val="21"/>
                      <w:szCs w:val="21"/>
                      <w:lang w:val="en-US" w:eastAsia="zh-CN"/>
                    </w:rPr>
                  </w:pPr>
                  <w:r>
                    <w:rPr>
                      <w:rFonts w:hint="eastAsia" w:ascii="仿宋_GB2312" w:hAnsi="仿宋_GB2312" w:eastAsia="仿宋_GB2312" w:cs="仿宋_GB2312"/>
                      <w:b/>
                      <w:bCs/>
                      <w:color w:val="auto"/>
                      <w:sz w:val="21"/>
                      <w:szCs w:val="21"/>
                      <w:lang w:val="en-US" w:eastAsia="zh-CN"/>
                    </w:rPr>
                    <w:t>生产负荷（%）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0" w:type="dxa"/>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sz w:val="21"/>
                      <w:szCs w:val="21"/>
                    </w:rPr>
                    <w:t>湿拌砂浆</w:t>
                  </w:r>
                </w:p>
              </w:tc>
              <w:tc>
                <w:tcPr>
                  <w:tcW w:w="1553" w:type="dxa"/>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sz w:val="21"/>
                      <w:szCs w:val="21"/>
                    </w:rPr>
                    <w:t>10万</w:t>
                  </w:r>
                </w:p>
              </w:tc>
              <w:tc>
                <w:tcPr>
                  <w:tcW w:w="157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333.3</w:t>
                  </w:r>
                </w:p>
              </w:tc>
              <w:tc>
                <w:tcPr>
                  <w:tcW w:w="142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5.26</w:t>
                  </w:r>
                </w:p>
              </w:tc>
              <w:tc>
                <w:tcPr>
                  <w:tcW w:w="2028"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color w:val="auto"/>
                      <w:kern w:val="2"/>
                      <w:sz w:val="21"/>
                      <w:szCs w:val="21"/>
                      <w:vertAlign w:val="baseline"/>
                      <w:lang w:val="en-US" w:eastAsia="zh-CN" w:bidi="ar-SA"/>
                    </w:rPr>
                    <w:t>300</w:t>
                  </w:r>
                </w:p>
              </w:tc>
              <w:tc>
                <w:tcPr>
                  <w:tcW w:w="15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90.0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p>
              </w:tc>
              <w:tc>
                <w:tcPr>
                  <w:tcW w:w="15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p>
              </w:tc>
              <w:tc>
                <w:tcPr>
                  <w:tcW w:w="15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p>
              </w:tc>
              <w:tc>
                <w:tcPr>
                  <w:tcW w:w="142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5.27</w:t>
                  </w:r>
                </w:p>
              </w:tc>
              <w:tc>
                <w:tcPr>
                  <w:tcW w:w="2028"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color w:val="auto"/>
                      <w:kern w:val="2"/>
                      <w:sz w:val="21"/>
                      <w:szCs w:val="21"/>
                      <w:vertAlign w:val="baseline"/>
                      <w:lang w:val="en-US" w:eastAsia="zh-CN" w:bidi="ar-SA"/>
                    </w:rPr>
                    <w:t>290</w:t>
                  </w:r>
                </w:p>
              </w:tc>
              <w:tc>
                <w:tcPr>
                  <w:tcW w:w="15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87.0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090" w:type="dxa"/>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sz w:val="21"/>
                      <w:szCs w:val="21"/>
                    </w:rPr>
                    <w:t>商品混凝土</w:t>
                  </w:r>
                </w:p>
              </w:tc>
              <w:tc>
                <w:tcPr>
                  <w:tcW w:w="1553" w:type="dxa"/>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仿宋_GB2312" w:hAnsi="仿宋_GB2312" w:eastAsia="仿宋_GB2312" w:cs="仿宋_GB2312"/>
                      <w:b w:val="0"/>
                      <w:bCs w:val="0"/>
                      <w:color w:val="auto"/>
                      <w:sz w:val="21"/>
                      <w:szCs w:val="21"/>
                      <w:lang w:val="en-US" w:eastAsia="zh-CN"/>
                    </w:rPr>
                  </w:pPr>
                  <w:r>
                    <w:rPr>
                      <w:rFonts w:hint="default" w:ascii="Times New Roman" w:hAnsi="Times New Roman" w:eastAsia="仿宋_GB2312" w:cs="Times New Roman"/>
                      <w:color w:val="auto"/>
                      <w:sz w:val="21"/>
                      <w:szCs w:val="21"/>
                    </w:rPr>
                    <w:t>23万m</w:t>
                  </w:r>
                  <w:r>
                    <w:rPr>
                      <w:rStyle w:val="37"/>
                      <w:rFonts w:hint="default" w:ascii="Times New Roman" w:hAnsi="Times New Roman" w:cs="Times New Roman"/>
                      <w:color w:val="auto"/>
                      <w:vertAlign w:val="superscript"/>
                    </w:rPr>
                    <w:t>3</w:t>
                  </w:r>
                  <w:r>
                    <w:rPr>
                      <w:rFonts w:hint="default" w:ascii="Times New Roman" w:hAnsi="Times New Roman" w:eastAsia="仿宋_GB2312" w:cs="Times New Roman"/>
                      <w:color w:val="auto"/>
                      <w:sz w:val="21"/>
                      <w:szCs w:val="21"/>
                    </w:rPr>
                    <w:t>/a，其中</w:t>
                  </w:r>
                  <w:r>
                    <w:rPr>
                      <w:rFonts w:hint="eastAsia" w:ascii="Times New Roman" w:hAnsi="Times New Roman" w:eastAsia="仿宋_GB2312" w:cs="Times New Roman"/>
                      <w:color w:val="auto"/>
                      <w:sz w:val="21"/>
                      <w:szCs w:val="21"/>
                      <w:lang w:val="en-US" w:eastAsia="zh-CN"/>
                    </w:rPr>
                    <w:t>3</w:t>
                  </w:r>
                  <w:r>
                    <w:rPr>
                      <w:rFonts w:hint="default" w:ascii="Times New Roman" w:hAnsi="Times New Roman" w:eastAsia="仿宋_GB2312" w:cs="Times New Roman"/>
                      <w:color w:val="auto"/>
                      <w:sz w:val="21"/>
                      <w:szCs w:val="21"/>
                    </w:rPr>
                    <w:t>万m</w:t>
                  </w:r>
                  <w:r>
                    <w:rPr>
                      <w:rStyle w:val="37"/>
                      <w:rFonts w:hint="default" w:ascii="Times New Roman" w:hAnsi="Times New Roman" w:cs="Times New Roman"/>
                      <w:color w:val="auto"/>
                      <w:vertAlign w:val="superscript"/>
                    </w:rPr>
                    <w:t>3</w:t>
                  </w:r>
                  <w:r>
                    <w:rPr>
                      <w:rFonts w:hint="default" w:ascii="Times New Roman" w:hAnsi="Times New Roman" w:eastAsia="仿宋_GB2312" w:cs="Times New Roman"/>
                      <w:color w:val="auto"/>
                      <w:sz w:val="21"/>
                      <w:szCs w:val="21"/>
                    </w:rPr>
                    <w:t>用于生产PC预制构件</w:t>
                  </w:r>
                </w:p>
              </w:tc>
              <w:tc>
                <w:tcPr>
                  <w:tcW w:w="157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766.7</w:t>
                  </w:r>
                </w:p>
              </w:tc>
              <w:tc>
                <w:tcPr>
                  <w:tcW w:w="142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5.26</w:t>
                  </w:r>
                </w:p>
              </w:tc>
              <w:tc>
                <w:tcPr>
                  <w:tcW w:w="2028"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730</w:t>
                  </w:r>
                </w:p>
              </w:tc>
              <w:tc>
                <w:tcPr>
                  <w:tcW w:w="15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95.2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sz w:val="21"/>
                      <w:szCs w:val="21"/>
                      <w:lang w:val="en-US" w:eastAsia="zh-CN"/>
                    </w:rPr>
                  </w:pPr>
                </w:p>
              </w:tc>
              <w:tc>
                <w:tcPr>
                  <w:tcW w:w="15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sz w:val="21"/>
                      <w:szCs w:val="21"/>
                      <w:lang w:val="en-US" w:eastAsia="zh-CN"/>
                    </w:rPr>
                  </w:pPr>
                </w:p>
              </w:tc>
              <w:tc>
                <w:tcPr>
                  <w:tcW w:w="15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sz w:val="21"/>
                      <w:szCs w:val="21"/>
                      <w:lang w:val="en-US" w:eastAsia="zh-CN"/>
                    </w:rPr>
                  </w:pPr>
                </w:p>
              </w:tc>
              <w:tc>
                <w:tcPr>
                  <w:tcW w:w="142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lang w:val="en-US" w:eastAsia="zh-CN" w:bidi="ar-SA"/>
                    </w:rPr>
                    <w:t>5.27</w:t>
                  </w:r>
                </w:p>
              </w:tc>
              <w:tc>
                <w:tcPr>
                  <w:tcW w:w="2028"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710</w:t>
                  </w:r>
                </w:p>
              </w:tc>
              <w:tc>
                <w:tcPr>
                  <w:tcW w:w="15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92.6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0" w:type="dxa"/>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sz w:val="21"/>
                      <w:szCs w:val="21"/>
                    </w:rPr>
                    <w:t>PC预制构件</w:t>
                  </w:r>
                </w:p>
              </w:tc>
              <w:tc>
                <w:tcPr>
                  <w:tcW w:w="1553" w:type="dxa"/>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sz w:val="21"/>
                      <w:szCs w:val="21"/>
                    </w:rPr>
                    <w:t>15万m</w:t>
                  </w:r>
                  <w:r>
                    <w:rPr>
                      <w:rFonts w:hint="eastAsia" w:ascii="仿宋_GB2312" w:hAnsi="仿宋_GB2312" w:eastAsia="仿宋_GB2312" w:cs="仿宋_GB2312"/>
                      <w:position w:val="7"/>
                      <w:sz w:val="21"/>
                      <w:szCs w:val="21"/>
                    </w:rPr>
                    <w:t>3</w:t>
                  </w:r>
                  <w:r>
                    <w:rPr>
                      <w:rFonts w:hint="eastAsia" w:ascii="仿宋_GB2312" w:hAnsi="仿宋_GB2312" w:eastAsia="仿宋_GB2312" w:cs="仿宋_GB2312"/>
                      <w:sz w:val="21"/>
                      <w:szCs w:val="21"/>
                    </w:rPr>
                    <w:t>/a</w:t>
                  </w:r>
                </w:p>
              </w:tc>
              <w:tc>
                <w:tcPr>
                  <w:tcW w:w="157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500</w:t>
                  </w:r>
                </w:p>
              </w:tc>
              <w:tc>
                <w:tcPr>
                  <w:tcW w:w="142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5.26</w:t>
                  </w:r>
                </w:p>
              </w:tc>
              <w:tc>
                <w:tcPr>
                  <w:tcW w:w="2028"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440</w:t>
                  </w:r>
                </w:p>
              </w:tc>
              <w:tc>
                <w:tcPr>
                  <w:tcW w:w="15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88.0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sz w:val="21"/>
                      <w:szCs w:val="21"/>
                      <w:lang w:val="en-US" w:eastAsia="zh-CN"/>
                    </w:rPr>
                  </w:pPr>
                </w:p>
              </w:tc>
              <w:tc>
                <w:tcPr>
                  <w:tcW w:w="15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sz w:val="21"/>
                      <w:szCs w:val="21"/>
                      <w:lang w:val="en-US" w:eastAsia="zh-CN"/>
                    </w:rPr>
                  </w:pPr>
                </w:p>
              </w:tc>
              <w:tc>
                <w:tcPr>
                  <w:tcW w:w="15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sz w:val="21"/>
                      <w:szCs w:val="21"/>
                      <w:lang w:val="en-US" w:eastAsia="zh-CN"/>
                    </w:rPr>
                  </w:pPr>
                </w:p>
              </w:tc>
              <w:tc>
                <w:tcPr>
                  <w:tcW w:w="142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lang w:val="en-US" w:eastAsia="zh-CN" w:bidi="ar-SA"/>
                    </w:rPr>
                    <w:t>5.27</w:t>
                  </w:r>
                </w:p>
              </w:tc>
              <w:tc>
                <w:tcPr>
                  <w:tcW w:w="2028"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450</w:t>
                  </w:r>
                </w:p>
              </w:tc>
              <w:tc>
                <w:tcPr>
                  <w:tcW w:w="15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90.0</w:t>
                  </w:r>
                </w:p>
              </w:tc>
            </w:tr>
            <w:bookmarkEnd w:id="5"/>
            <w:bookmarkEnd w:id="6"/>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注：验收期间企业产能数据由企业提供。</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eastAsia="zh-CN"/>
              </w:rPr>
              <w:t>废气监测结果</w:t>
            </w:r>
            <w:r>
              <w:rPr>
                <w:rFonts w:hint="eastAsia" w:ascii="仿宋_GB2312" w:hAnsi="仿宋_GB2312" w:eastAsia="仿宋_GB2312" w:cs="仿宋_GB2312"/>
                <w:b/>
                <w:bCs/>
                <w:color w:val="auto"/>
                <w:sz w:val="28"/>
                <w:szCs w:val="28"/>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480" w:lineRule="exact"/>
              <w:ind w:left="0" w:leftChars="0" w:right="0" w:rightChars="0" w:firstLine="0" w:firstLineChars="0"/>
              <w:textAlignment w:val="auto"/>
              <w:outlineLvl w:val="9"/>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无组织废气</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lang w:val="en-US" w:eastAsia="zh-CN"/>
              </w:rPr>
              <w:t xml:space="preserve"> </w:t>
            </w:r>
            <w:r>
              <w:rPr>
                <w:rFonts w:hint="eastAsia" w:ascii="仿宋_GB2312" w:hAnsi="仿宋_GB2312" w:eastAsia="仿宋_GB2312" w:cs="仿宋_GB2312"/>
                <w:b/>
                <w:color w:val="auto"/>
                <w:sz w:val="28"/>
                <w:szCs w:val="28"/>
              </w:rPr>
              <w:t>无组织</w:t>
            </w:r>
            <w:r>
              <w:rPr>
                <w:rFonts w:hint="eastAsia" w:ascii="仿宋_GB2312" w:hAnsi="仿宋_GB2312" w:eastAsia="仿宋_GB2312" w:cs="仿宋_GB2312"/>
                <w:b/>
                <w:color w:val="auto"/>
                <w:sz w:val="28"/>
                <w:szCs w:val="28"/>
                <w:lang w:val="en-US" w:eastAsia="zh-CN"/>
              </w:rPr>
              <w:t>颗粒物</w:t>
            </w:r>
            <w:r>
              <w:rPr>
                <w:rFonts w:hint="eastAsia" w:ascii="仿宋_GB2312" w:hAnsi="仿宋_GB2312" w:eastAsia="仿宋_GB2312" w:cs="仿宋_GB2312"/>
                <w:b/>
                <w:color w:val="auto"/>
                <w:sz w:val="28"/>
                <w:szCs w:val="28"/>
              </w:rPr>
              <w:t>监测结果统计表</w:t>
            </w:r>
            <w:r>
              <w:rPr>
                <w:rFonts w:hint="eastAsia" w:ascii="仿宋_GB2312" w:hAnsi="仿宋_GB2312" w:eastAsia="仿宋_GB2312" w:cs="仿宋_GB2312"/>
                <w:b/>
                <w:color w:val="auto"/>
                <w:sz w:val="28"/>
                <w:szCs w:val="28"/>
                <w:lang w:eastAsia="zh-CN"/>
              </w:rPr>
              <w:t>（单位：</w:t>
            </w:r>
            <w:r>
              <w:rPr>
                <w:rFonts w:hint="eastAsia" w:ascii="仿宋_GB2312" w:hAnsi="仿宋_GB2312" w:eastAsia="仿宋_GB2312" w:cs="仿宋_GB2312"/>
                <w:b/>
                <w:color w:val="auto"/>
                <w:sz w:val="28"/>
                <w:szCs w:val="28"/>
                <w:lang w:val="en-US" w:eastAsia="zh-CN"/>
              </w:rPr>
              <w:t>mg/m</w:t>
            </w:r>
            <w:r>
              <w:rPr>
                <w:rFonts w:hint="eastAsia" w:ascii="仿宋_GB2312" w:hAnsi="仿宋_GB2312" w:eastAsia="仿宋_GB2312" w:cs="仿宋_GB2312"/>
                <w:b/>
                <w:color w:val="auto"/>
                <w:sz w:val="28"/>
                <w:szCs w:val="28"/>
                <w:vertAlign w:val="superscript"/>
                <w:lang w:val="en-US" w:eastAsia="zh-CN"/>
              </w:rPr>
              <w:t>3</w:t>
            </w:r>
            <w:r>
              <w:rPr>
                <w:rFonts w:hint="eastAsia" w:ascii="仿宋_GB2312" w:hAnsi="仿宋_GB2312" w:eastAsia="仿宋_GB2312" w:cs="仿宋_GB2312"/>
                <w:b/>
                <w:color w:val="auto"/>
                <w:sz w:val="28"/>
                <w:szCs w:val="28"/>
                <w:lang w:eastAsia="zh-CN"/>
              </w:rPr>
              <w:t>）</w:t>
            </w:r>
          </w:p>
          <w:tbl>
            <w:tblPr>
              <w:tblStyle w:val="16"/>
              <w:tblW w:w="919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1161"/>
              <w:gridCol w:w="1267"/>
              <w:gridCol w:w="949"/>
              <w:gridCol w:w="949"/>
              <w:gridCol w:w="949"/>
              <w:gridCol w:w="949"/>
              <w:gridCol w:w="1153"/>
              <w:gridCol w:w="561"/>
              <w:gridCol w:w="6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5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eastAsia" w:ascii="仿宋_GB2312" w:hAnsi="仿宋_GB2312" w:eastAsia="仿宋_GB2312" w:cs="仿宋_GB2312"/>
                      <w:b/>
                      <w:bCs w:val="0"/>
                      <w:color w:val="auto"/>
                      <w:sz w:val="21"/>
                      <w:szCs w:val="21"/>
                    </w:rPr>
                  </w:pPr>
                  <w:r>
                    <w:rPr>
                      <w:rFonts w:hint="eastAsia" w:ascii="仿宋_GB2312" w:hAnsi="仿宋_GB2312" w:eastAsia="仿宋_GB2312" w:cs="仿宋_GB2312"/>
                      <w:b/>
                      <w:bCs w:val="0"/>
                      <w:color w:val="auto"/>
                      <w:sz w:val="21"/>
                      <w:szCs w:val="21"/>
                    </w:rPr>
                    <w:t>监测</w:t>
                  </w:r>
                </w:p>
                <w:p>
                  <w:pPr>
                    <w:keepNext w:val="0"/>
                    <w:keepLines w:val="0"/>
                    <w:pageBreakBefore w:val="0"/>
                    <w:widowControl w:val="0"/>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eastAsia" w:ascii="仿宋_GB2312" w:hAnsi="仿宋_GB2312" w:eastAsia="仿宋_GB2312" w:cs="仿宋_GB2312"/>
                      <w:b/>
                      <w:bCs w:val="0"/>
                      <w:color w:val="auto"/>
                      <w:sz w:val="21"/>
                      <w:szCs w:val="21"/>
                    </w:rPr>
                  </w:pPr>
                  <w:r>
                    <w:rPr>
                      <w:rFonts w:hint="eastAsia" w:ascii="仿宋_GB2312" w:hAnsi="仿宋_GB2312" w:eastAsia="仿宋_GB2312" w:cs="仿宋_GB2312"/>
                      <w:b/>
                      <w:bCs w:val="0"/>
                      <w:color w:val="auto"/>
                      <w:sz w:val="21"/>
                      <w:szCs w:val="21"/>
                    </w:rPr>
                    <w:t>项目</w:t>
                  </w:r>
                </w:p>
              </w:tc>
              <w:tc>
                <w:tcPr>
                  <w:tcW w:w="116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eastAsia" w:ascii="仿宋_GB2312" w:hAnsi="仿宋_GB2312" w:eastAsia="仿宋_GB2312" w:cs="仿宋_GB2312"/>
                      <w:b/>
                      <w:bCs w:val="0"/>
                      <w:color w:val="auto"/>
                      <w:sz w:val="21"/>
                      <w:szCs w:val="21"/>
                    </w:rPr>
                  </w:pPr>
                  <w:r>
                    <w:rPr>
                      <w:rFonts w:hint="eastAsia" w:ascii="仿宋_GB2312" w:hAnsi="仿宋_GB2312" w:eastAsia="仿宋_GB2312" w:cs="仿宋_GB2312"/>
                      <w:b/>
                      <w:bCs w:val="0"/>
                      <w:color w:val="auto"/>
                      <w:sz w:val="21"/>
                      <w:szCs w:val="21"/>
                    </w:rPr>
                    <w:t>监测日期</w:t>
                  </w:r>
                </w:p>
              </w:tc>
              <w:tc>
                <w:tcPr>
                  <w:tcW w:w="126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eastAsia" w:ascii="仿宋_GB2312" w:hAnsi="仿宋_GB2312" w:eastAsia="仿宋_GB2312" w:cs="仿宋_GB2312"/>
                      <w:b/>
                      <w:bCs w:val="0"/>
                      <w:color w:val="auto"/>
                      <w:sz w:val="21"/>
                      <w:szCs w:val="21"/>
                    </w:rPr>
                  </w:pPr>
                  <w:r>
                    <w:rPr>
                      <w:rFonts w:hint="eastAsia" w:ascii="仿宋_GB2312" w:hAnsi="仿宋_GB2312" w:eastAsia="仿宋_GB2312" w:cs="仿宋_GB2312"/>
                      <w:b/>
                      <w:bCs w:val="0"/>
                      <w:color w:val="auto"/>
                      <w:sz w:val="21"/>
                      <w:szCs w:val="21"/>
                    </w:rPr>
                    <w:t>监测点位</w:t>
                  </w:r>
                </w:p>
              </w:tc>
              <w:tc>
                <w:tcPr>
                  <w:tcW w:w="4949"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eastAsia" w:ascii="仿宋_GB2312" w:hAnsi="仿宋_GB2312" w:eastAsia="仿宋_GB2312" w:cs="仿宋_GB2312"/>
                      <w:b/>
                      <w:bCs w:val="0"/>
                      <w:color w:val="auto"/>
                      <w:sz w:val="21"/>
                      <w:szCs w:val="21"/>
                    </w:rPr>
                  </w:pPr>
                  <w:r>
                    <w:rPr>
                      <w:rFonts w:hint="eastAsia" w:ascii="仿宋_GB2312" w:hAnsi="仿宋_GB2312" w:eastAsia="仿宋_GB2312" w:cs="仿宋_GB2312"/>
                      <w:b/>
                      <w:bCs w:val="0"/>
                      <w:color w:val="auto"/>
                      <w:sz w:val="21"/>
                      <w:szCs w:val="21"/>
                    </w:rPr>
                    <w:t>监测结果</w:t>
                  </w:r>
                </w:p>
              </w:tc>
              <w:tc>
                <w:tcPr>
                  <w:tcW w:w="56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eastAsia" w:ascii="仿宋_GB2312" w:hAnsi="仿宋_GB2312" w:eastAsia="仿宋_GB2312" w:cs="仿宋_GB2312"/>
                      <w:b/>
                      <w:bCs w:val="0"/>
                      <w:color w:val="auto"/>
                      <w:sz w:val="21"/>
                      <w:szCs w:val="21"/>
                    </w:rPr>
                  </w:pPr>
                  <w:r>
                    <w:rPr>
                      <w:rFonts w:hint="eastAsia" w:ascii="仿宋_GB2312" w:hAnsi="仿宋_GB2312" w:eastAsia="仿宋_GB2312" w:cs="仿宋_GB2312"/>
                      <w:b/>
                      <w:bCs w:val="0"/>
                      <w:color w:val="auto"/>
                      <w:sz w:val="21"/>
                      <w:szCs w:val="21"/>
                    </w:rPr>
                    <w:t>限值</w:t>
                  </w:r>
                </w:p>
              </w:tc>
              <w:tc>
                <w:tcPr>
                  <w:tcW w:w="60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eastAsia" w:ascii="仿宋_GB2312" w:hAnsi="仿宋_GB2312" w:eastAsia="仿宋_GB2312" w:cs="仿宋_GB2312"/>
                      <w:b/>
                      <w:bCs w:val="0"/>
                      <w:color w:val="auto"/>
                      <w:sz w:val="21"/>
                      <w:szCs w:val="21"/>
                    </w:rPr>
                  </w:pPr>
                  <w:r>
                    <w:rPr>
                      <w:rFonts w:hint="eastAsia" w:ascii="仿宋_GB2312" w:hAnsi="仿宋_GB2312" w:eastAsia="仿宋_GB2312" w:cs="仿宋_GB2312"/>
                      <w:b/>
                      <w:bCs w:val="0"/>
                      <w:color w:val="auto"/>
                      <w:sz w:val="21"/>
                      <w:szCs w:val="21"/>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5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eastAsia" w:ascii="仿宋_GB2312" w:hAnsi="仿宋_GB2312" w:eastAsia="仿宋_GB2312" w:cs="仿宋_GB2312"/>
                      <w:b/>
                      <w:bCs w:val="0"/>
                      <w:color w:val="auto"/>
                      <w:sz w:val="21"/>
                      <w:szCs w:val="21"/>
                    </w:rPr>
                  </w:pPr>
                </w:p>
              </w:tc>
              <w:tc>
                <w:tcPr>
                  <w:tcW w:w="116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eastAsia" w:ascii="仿宋_GB2312" w:hAnsi="仿宋_GB2312" w:eastAsia="仿宋_GB2312" w:cs="仿宋_GB2312"/>
                      <w:b/>
                      <w:bCs w:val="0"/>
                      <w:color w:val="auto"/>
                      <w:sz w:val="21"/>
                      <w:szCs w:val="21"/>
                    </w:rPr>
                  </w:pPr>
                </w:p>
              </w:tc>
              <w:tc>
                <w:tcPr>
                  <w:tcW w:w="126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eastAsia" w:ascii="仿宋_GB2312" w:hAnsi="仿宋_GB2312" w:eastAsia="仿宋_GB2312" w:cs="仿宋_GB2312"/>
                      <w:b/>
                      <w:bCs w:val="0"/>
                      <w:color w:val="auto"/>
                      <w:sz w:val="21"/>
                      <w:szCs w:val="21"/>
                    </w:rPr>
                  </w:pPr>
                </w:p>
              </w:tc>
              <w:tc>
                <w:tcPr>
                  <w:tcW w:w="9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eastAsia" w:ascii="仿宋_GB2312" w:hAnsi="仿宋_GB2312" w:eastAsia="仿宋_GB2312" w:cs="仿宋_GB2312"/>
                      <w:b/>
                      <w:bCs w:val="0"/>
                      <w:color w:val="auto"/>
                      <w:sz w:val="21"/>
                      <w:szCs w:val="21"/>
                    </w:rPr>
                  </w:pPr>
                  <w:r>
                    <w:rPr>
                      <w:rFonts w:hint="eastAsia" w:ascii="仿宋_GB2312" w:hAnsi="仿宋_GB2312" w:eastAsia="仿宋_GB2312" w:cs="仿宋_GB2312"/>
                      <w:b w:val="0"/>
                      <w:bCs/>
                      <w:color w:val="auto"/>
                      <w:sz w:val="21"/>
                      <w:szCs w:val="21"/>
                      <w:lang w:eastAsia="zh-CN"/>
                    </w:rPr>
                    <w:t>参照点</w:t>
                  </w:r>
                  <w:r>
                    <w:rPr>
                      <w:rFonts w:hint="eastAsia" w:ascii="仿宋_GB2312" w:hAnsi="仿宋_GB2312" w:eastAsia="仿宋_GB2312" w:cs="仿宋_GB2312"/>
                      <w:b w:val="0"/>
                      <w:bCs/>
                      <w:color w:val="auto"/>
                      <w:sz w:val="21"/>
                      <w:szCs w:val="21"/>
                      <w:lang w:val="en-US" w:eastAsia="zh-CN"/>
                    </w:rPr>
                    <w:t>（G1）</w:t>
                  </w:r>
                </w:p>
              </w:tc>
              <w:tc>
                <w:tcPr>
                  <w:tcW w:w="9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eastAsia" w:ascii="仿宋_GB2312" w:hAnsi="仿宋_GB2312" w:eastAsia="仿宋_GB2312" w:cs="仿宋_GB2312"/>
                      <w:b/>
                      <w:bCs w:val="0"/>
                      <w:color w:val="auto"/>
                      <w:sz w:val="21"/>
                      <w:szCs w:val="21"/>
                    </w:rPr>
                  </w:pPr>
                  <w:r>
                    <w:rPr>
                      <w:rFonts w:hint="eastAsia" w:ascii="仿宋_GB2312" w:hAnsi="仿宋_GB2312" w:eastAsia="仿宋_GB2312" w:cs="仿宋_GB2312"/>
                      <w:b w:val="0"/>
                      <w:bCs/>
                      <w:color w:val="auto"/>
                      <w:sz w:val="21"/>
                      <w:szCs w:val="21"/>
                      <w:lang w:eastAsia="zh-CN"/>
                    </w:rPr>
                    <w:t>监测点(G</w:t>
                  </w:r>
                  <w:r>
                    <w:rPr>
                      <w:rFonts w:hint="eastAsia" w:ascii="仿宋_GB2312" w:hAnsi="仿宋_GB2312" w:eastAsia="仿宋_GB2312" w:cs="仿宋_GB2312"/>
                      <w:b w:val="0"/>
                      <w:bCs/>
                      <w:color w:val="auto"/>
                      <w:sz w:val="21"/>
                      <w:szCs w:val="21"/>
                      <w:lang w:val="en-US" w:eastAsia="zh-CN"/>
                    </w:rPr>
                    <w:t>2</w:t>
                  </w:r>
                  <w:r>
                    <w:rPr>
                      <w:rFonts w:hint="eastAsia" w:ascii="仿宋_GB2312" w:hAnsi="仿宋_GB2312" w:eastAsia="仿宋_GB2312" w:cs="仿宋_GB2312"/>
                      <w:b w:val="0"/>
                      <w:bCs/>
                      <w:color w:val="auto"/>
                      <w:sz w:val="21"/>
                      <w:szCs w:val="21"/>
                      <w:lang w:eastAsia="zh-CN"/>
                    </w:rPr>
                    <w:t>)</w:t>
                  </w:r>
                </w:p>
              </w:tc>
              <w:tc>
                <w:tcPr>
                  <w:tcW w:w="9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eastAsia" w:ascii="仿宋_GB2312" w:hAnsi="仿宋_GB2312" w:eastAsia="仿宋_GB2312" w:cs="仿宋_GB2312"/>
                      <w:b/>
                      <w:bCs w:val="0"/>
                      <w:color w:val="auto"/>
                      <w:sz w:val="21"/>
                      <w:szCs w:val="21"/>
                    </w:rPr>
                  </w:pPr>
                  <w:r>
                    <w:rPr>
                      <w:rFonts w:hint="eastAsia" w:ascii="仿宋_GB2312" w:hAnsi="仿宋_GB2312" w:eastAsia="仿宋_GB2312" w:cs="仿宋_GB2312"/>
                      <w:b w:val="0"/>
                      <w:bCs/>
                      <w:color w:val="auto"/>
                      <w:sz w:val="21"/>
                      <w:szCs w:val="21"/>
                      <w:lang w:eastAsia="zh-CN"/>
                    </w:rPr>
                    <w:t>监测点(G</w:t>
                  </w:r>
                  <w:r>
                    <w:rPr>
                      <w:rFonts w:hint="eastAsia" w:ascii="仿宋_GB2312" w:hAnsi="仿宋_GB2312" w:eastAsia="仿宋_GB2312" w:cs="仿宋_GB2312"/>
                      <w:b w:val="0"/>
                      <w:bCs/>
                      <w:color w:val="auto"/>
                      <w:sz w:val="21"/>
                      <w:szCs w:val="21"/>
                      <w:lang w:val="en-US" w:eastAsia="zh-CN"/>
                    </w:rPr>
                    <w:t>3</w:t>
                  </w:r>
                  <w:r>
                    <w:rPr>
                      <w:rFonts w:hint="eastAsia" w:ascii="仿宋_GB2312" w:hAnsi="仿宋_GB2312" w:eastAsia="仿宋_GB2312" w:cs="仿宋_GB2312"/>
                      <w:b w:val="0"/>
                      <w:bCs/>
                      <w:color w:val="auto"/>
                      <w:sz w:val="21"/>
                      <w:szCs w:val="21"/>
                      <w:lang w:eastAsia="zh-CN"/>
                    </w:rPr>
                    <w:t>)</w:t>
                  </w:r>
                </w:p>
              </w:tc>
              <w:tc>
                <w:tcPr>
                  <w:tcW w:w="9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eastAsia" w:ascii="仿宋_GB2312" w:hAnsi="仿宋_GB2312" w:eastAsia="仿宋_GB2312" w:cs="仿宋_GB2312"/>
                      <w:b/>
                      <w:bCs w:val="0"/>
                      <w:color w:val="auto"/>
                      <w:sz w:val="21"/>
                      <w:szCs w:val="21"/>
                    </w:rPr>
                  </w:pPr>
                  <w:r>
                    <w:rPr>
                      <w:rFonts w:hint="eastAsia" w:ascii="仿宋_GB2312" w:hAnsi="仿宋_GB2312" w:eastAsia="仿宋_GB2312" w:cs="仿宋_GB2312"/>
                      <w:b w:val="0"/>
                      <w:bCs/>
                      <w:color w:val="auto"/>
                      <w:sz w:val="21"/>
                      <w:szCs w:val="21"/>
                      <w:lang w:eastAsia="zh-CN"/>
                    </w:rPr>
                    <w:t>监测点(G</w:t>
                  </w:r>
                  <w:r>
                    <w:rPr>
                      <w:rFonts w:hint="eastAsia" w:ascii="仿宋_GB2312" w:hAnsi="仿宋_GB2312" w:eastAsia="仿宋_GB2312" w:cs="仿宋_GB2312"/>
                      <w:b w:val="0"/>
                      <w:bCs/>
                      <w:color w:val="auto"/>
                      <w:sz w:val="21"/>
                      <w:szCs w:val="21"/>
                      <w:lang w:val="en-US" w:eastAsia="zh-CN"/>
                    </w:rPr>
                    <w:t>4</w:t>
                  </w:r>
                  <w:r>
                    <w:rPr>
                      <w:rFonts w:hint="eastAsia" w:ascii="仿宋_GB2312" w:hAnsi="仿宋_GB2312" w:eastAsia="仿宋_GB2312" w:cs="仿宋_GB2312"/>
                      <w:b w:val="0"/>
                      <w:bCs/>
                      <w:color w:val="auto"/>
                      <w:sz w:val="21"/>
                      <w:szCs w:val="21"/>
                      <w:lang w:eastAsia="zh-CN"/>
                    </w:rPr>
                    <w:t>)</w:t>
                  </w:r>
                </w:p>
              </w:tc>
              <w:tc>
                <w:tcPr>
                  <w:tcW w:w="11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eastAsia" w:ascii="仿宋_GB2312" w:hAnsi="仿宋_GB2312" w:eastAsia="仿宋_GB2312" w:cs="仿宋_GB2312"/>
                      <w:b/>
                      <w:bCs w:val="0"/>
                      <w:color w:val="auto"/>
                      <w:sz w:val="21"/>
                      <w:szCs w:val="21"/>
                      <w:lang w:eastAsia="zh-CN"/>
                    </w:rPr>
                  </w:pPr>
                  <w:r>
                    <w:rPr>
                      <w:rFonts w:hint="eastAsia" w:ascii="仿宋_GB2312" w:hAnsi="仿宋_GB2312" w:eastAsia="仿宋_GB2312" w:cs="仿宋_GB2312"/>
                      <w:b/>
                      <w:bCs w:val="0"/>
                      <w:color w:val="auto"/>
                      <w:sz w:val="21"/>
                      <w:szCs w:val="21"/>
                      <w:lang w:eastAsia="zh-CN"/>
                    </w:rPr>
                    <w:t>最大值</w:t>
                  </w:r>
                </w:p>
              </w:tc>
              <w:tc>
                <w:tcPr>
                  <w:tcW w:w="56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eastAsia" w:ascii="仿宋_GB2312" w:hAnsi="仿宋_GB2312" w:eastAsia="仿宋_GB2312" w:cs="仿宋_GB2312"/>
                      <w:b/>
                      <w:bCs w:val="0"/>
                      <w:color w:val="auto"/>
                      <w:sz w:val="21"/>
                      <w:szCs w:val="21"/>
                    </w:rPr>
                  </w:pPr>
                </w:p>
              </w:tc>
              <w:tc>
                <w:tcPr>
                  <w:tcW w:w="6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eastAsia" w:ascii="仿宋_GB2312" w:hAnsi="仿宋_GB2312" w:eastAsia="仿宋_GB2312" w:cs="仿宋_GB2312"/>
                      <w:b/>
                      <w:bCs w:val="0"/>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2" w:type="dxa"/>
                  <w:vMerge w:val="restart"/>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auto"/>
                      <w:sz w:val="21"/>
                      <w:szCs w:val="21"/>
                      <w:lang w:eastAsia="zh-CN"/>
                    </w:rPr>
                  </w:pPr>
                  <w:r>
                    <w:rPr>
                      <w:rFonts w:hint="eastAsia" w:ascii="仿宋_GB2312" w:hAnsi="仿宋_GB2312" w:eastAsia="仿宋_GB2312" w:cs="仿宋_GB2312"/>
                      <w:b w:val="0"/>
                      <w:bCs/>
                      <w:color w:val="auto"/>
                      <w:sz w:val="21"/>
                      <w:szCs w:val="21"/>
                      <w:lang w:val="en-US" w:eastAsia="zh-CN"/>
                    </w:rPr>
                    <w:t>颗粒物</w:t>
                  </w:r>
                </w:p>
              </w:tc>
              <w:tc>
                <w:tcPr>
                  <w:tcW w:w="1161" w:type="dxa"/>
                  <w:vMerge w:val="restart"/>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auto"/>
                      <w:sz w:val="21"/>
                      <w:szCs w:val="21"/>
                    </w:rPr>
                  </w:pPr>
                  <w:r>
                    <w:rPr>
                      <w:rFonts w:hint="eastAsia" w:ascii="仿宋_GB2312" w:hAnsi="仿宋_GB2312" w:eastAsia="仿宋_GB2312" w:cs="仿宋_GB2312"/>
                      <w:b w:val="0"/>
                      <w:bCs/>
                      <w:color w:val="auto"/>
                      <w:sz w:val="21"/>
                      <w:szCs w:val="21"/>
                      <w:highlight w:val="none"/>
                      <w:lang w:eastAsia="zh-CN"/>
                    </w:rPr>
                    <w:t>2021-5-2</w:t>
                  </w:r>
                  <w:r>
                    <w:rPr>
                      <w:rFonts w:hint="eastAsia" w:ascii="仿宋_GB2312" w:hAnsi="仿宋_GB2312" w:eastAsia="仿宋_GB2312" w:cs="仿宋_GB2312"/>
                      <w:b w:val="0"/>
                      <w:bCs/>
                      <w:color w:val="auto"/>
                      <w:sz w:val="21"/>
                      <w:szCs w:val="21"/>
                      <w:highlight w:val="none"/>
                      <w:lang w:val="en-US" w:eastAsia="zh-CN"/>
                    </w:rPr>
                    <w:t>6</w:t>
                  </w:r>
                </w:p>
              </w:tc>
              <w:tc>
                <w:tcPr>
                  <w:tcW w:w="1267" w:type="dxa"/>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default" w:ascii="仿宋_GB2312" w:hAnsi="仿宋_GB2312" w:eastAsia="仿宋_GB2312" w:cs="仿宋_GB2312"/>
                      <w:b w:val="0"/>
                      <w:bCs/>
                      <w:color w:val="auto"/>
                      <w:sz w:val="21"/>
                      <w:szCs w:val="21"/>
                      <w:lang w:val="en-US" w:eastAsia="zh-CN"/>
                    </w:rPr>
                  </w:pPr>
                  <w:r>
                    <w:rPr>
                      <w:rFonts w:hint="eastAsia" w:ascii="仿宋_GB2312" w:hAnsi="仿宋_GB2312" w:eastAsia="仿宋_GB2312" w:cs="仿宋_GB2312"/>
                      <w:b w:val="0"/>
                      <w:bCs/>
                      <w:color w:val="auto"/>
                      <w:sz w:val="21"/>
                      <w:szCs w:val="21"/>
                      <w:lang w:val="en-US" w:eastAsia="zh-CN"/>
                    </w:rPr>
                    <w:t>第一次</w:t>
                  </w:r>
                </w:p>
              </w:tc>
              <w:tc>
                <w:tcPr>
                  <w:tcW w:w="949" w:type="dxa"/>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default" w:ascii="仿宋_GB2312" w:hAnsi="仿宋_GB2312" w:eastAsia="仿宋_GB2312" w:cs="仿宋_GB2312"/>
                      <w:b w:val="0"/>
                      <w:bCs/>
                      <w:color w:val="auto"/>
                      <w:sz w:val="21"/>
                      <w:szCs w:val="21"/>
                      <w:lang w:val="en-US" w:eastAsia="zh-CN"/>
                    </w:rPr>
                  </w:pPr>
                  <w:r>
                    <w:rPr>
                      <w:rFonts w:hint="default" w:ascii="仿宋_GB2312" w:hAnsi="仿宋_GB2312" w:eastAsia="仿宋_GB2312" w:cs="仿宋_GB2312"/>
                      <w:b w:val="0"/>
                      <w:bCs/>
                      <w:color w:val="auto"/>
                      <w:sz w:val="21"/>
                      <w:szCs w:val="21"/>
                      <w:lang w:val="en-US" w:eastAsia="zh-CN"/>
                    </w:rPr>
                    <w:t>0.167</w:t>
                  </w:r>
                </w:p>
              </w:tc>
              <w:tc>
                <w:tcPr>
                  <w:tcW w:w="949" w:type="dxa"/>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default" w:ascii="仿宋_GB2312" w:hAnsi="仿宋_GB2312" w:eastAsia="仿宋_GB2312" w:cs="仿宋_GB2312"/>
                      <w:b w:val="0"/>
                      <w:bCs/>
                      <w:color w:val="auto"/>
                      <w:sz w:val="21"/>
                      <w:szCs w:val="21"/>
                      <w:lang w:val="en-US" w:eastAsia="zh-CN"/>
                    </w:rPr>
                  </w:pPr>
                  <w:r>
                    <w:rPr>
                      <w:rFonts w:hint="default" w:ascii="仿宋_GB2312" w:hAnsi="仿宋_GB2312" w:eastAsia="仿宋_GB2312" w:cs="仿宋_GB2312"/>
                      <w:b w:val="0"/>
                      <w:bCs/>
                      <w:color w:val="auto"/>
                      <w:sz w:val="21"/>
                      <w:szCs w:val="21"/>
                      <w:lang w:val="en-US" w:eastAsia="zh-CN"/>
                    </w:rPr>
                    <w:t>0.200</w:t>
                  </w:r>
                </w:p>
              </w:tc>
              <w:tc>
                <w:tcPr>
                  <w:tcW w:w="949" w:type="dxa"/>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default" w:ascii="仿宋_GB2312" w:hAnsi="仿宋_GB2312" w:eastAsia="仿宋_GB2312" w:cs="仿宋_GB2312"/>
                      <w:b w:val="0"/>
                      <w:bCs/>
                      <w:color w:val="auto"/>
                      <w:sz w:val="21"/>
                      <w:szCs w:val="21"/>
                      <w:lang w:val="en-US" w:eastAsia="zh-CN"/>
                    </w:rPr>
                  </w:pPr>
                  <w:r>
                    <w:rPr>
                      <w:rFonts w:hint="default" w:ascii="仿宋_GB2312" w:hAnsi="仿宋_GB2312" w:eastAsia="仿宋_GB2312" w:cs="仿宋_GB2312"/>
                      <w:b w:val="0"/>
                      <w:bCs/>
                      <w:color w:val="auto"/>
                      <w:sz w:val="21"/>
                      <w:szCs w:val="21"/>
                      <w:lang w:val="en-US" w:eastAsia="zh-CN"/>
                    </w:rPr>
                    <w:t>0.233</w:t>
                  </w:r>
                </w:p>
              </w:tc>
              <w:tc>
                <w:tcPr>
                  <w:tcW w:w="949" w:type="dxa"/>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default" w:ascii="仿宋_GB2312" w:hAnsi="仿宋_GB2312" w:eastAsia="仿宋_GB2312" w:cs="仿宋_GB2312"/>
                      <w:b w:val="0"/>
                      <w:bCs/>
                      <w:color w:val="auto"/>
                      <w:sz w:val="21"/>
                      <w:szCs w:val="21"/>
                      <w:lang w:val="en-US" w:eastAsia="zh-CN"/>
                    </w:rPr>
                  </w:pPr>
                  <w:r>
                    <w:rPr>
                      <w:rFonts w:hint="default" w:ascii="仿宋_GB2312" w:hAnsi="仿宋_GB2312" w:eastAsia="仿宋_GB2312" w:cs="仿宋_GB2312"/>
                      <w:b w:val="0"/>
                      <w:bCs/>
                      <w:color w:val="auto"/>
                      <w:sz w:val="21"/>
                      <w:szCs w:val="21"/>
                      <w:lang w:val="en-US" w:eastAsia="zh-CN"/>
                    </w:rPr>
                    <w:t>0.283</w:t>
                  </w:r>
                </w:p>
              </w:tc>
              <w:tc>
                <w:tcPr>
                  <w:tcW w:w="1153" w:type="dxa"/>
                  <w:vMerge w:val="restart"/>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default" w:ascii="仿宋_GB2312" w:hAnsi="仿宋_GB2312" w:eastAsia="仿宋_GB2312" w:cs="仿宋_GB2312"/>
                      <w:b w:val="0"/>
                      <w:bCs/>
                      <w:color w:val="auto"/>
                      <w:sz w:val="21"/>
                      <w:szCs w:val="21"/>
                      <w:lang w:val="en-US" w:eastAsia="zh-CN"/>
                    </w:rPr>
                  </w:pPr>
                  <w:r>
                    <w:rPr>
                      <w:rFonts w:hint="eastAsia" w:ascii="仿宋_GB2312" w:hAnsi="仿宋_GB2312" w:eastAsia="仿宋_GB2312" w:cs="仿宋_GB2312"/>
                      <w:b w:val="0"/>
                      <w:bCs/>
                      <w:color w:val="auto"/>
                      <w:sz w:val="21"/>
                      <w:szCs w:val="21"/>
                      <w:lang w:val="en-US" w:eastAsia="zh-CN"/>
                    </w:rPr>
                    <w:t>0.300</w:t>
                  </w:r>
                </w:p>
              </w:tc>
              <w:tc>
                <w:tcPr>
                  <w:tcW w:w="561" w:type="dxa"/>
                  <w:vMerge w:val="restart"/>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default" w:ascii="仿宋_GB2312" w:hAnsi="仿宋_GB2312" w:eastAsia="仿宋_GB2312" w:cs="仿宋_GB2312"/>
                      <w:b/>
                      <w:bCs w:val="0"/>
                      <w:color w:val="auto"/>
                      <w:sz w:val="21"/>
                      <w:szCs w:val="21"/>
                      <w:lang w:val="en-US" w:eastAsia="zh-CN"/>
                    </w:rPr>
                  </w:pPr>
                  <w:r>
                    <w:rPr>
                      <w:rFonts w:hint="eastAsia" w:ascii="仿宋_GB2312" w:hAnsi="仿宋_GB2312" w:eastAsia="仿宋_GB2312" w:cs="仿宋_GB2312"/>
                      <w:b/>
                      <w:bCs w:val="0"/>
                      <w:color w:val="auto"/>
                      <w:sz w:val="21"/>
                      <w:szCs w:val="21"/>
                      <w:lang w:val="en-US" w:eastAsia="zh-CN"/>
                    </w:rPr>
                    <w:t>0.5</w:t>
                  </w:r>
                </w:p>
              </w:tc>
              <w:tc>
                <w:tcPr>
                  <w:tcW w:w="602" w:type="dxa"/>
                  <w:vMerge w:val="restart"/>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eastAsia" w:ascii="仿宋_GB2312" w:hAnsi="仿宋_GB2312" w:eastAsia="仿宋_GB2312" w:cs="仿宋_GB2312"/>
                      <w:b/>
                      <w:bCs w:val="0"/>
                      <w:color w:val="auto"/>
                      <w:sz w:val="21"/>
                      <w:szCs w:val="21"/>
                      <w:lang w:eastAsia="zh-CN"/>
                    </w:rPr>
                  </w:pPr>
                  <w:r>
                    <w:rPr>
                      <w:rFonts w:hint="eastAsia" w:ascii="仿宋_GB2312" w:hAnsi="仿宋_GB2312" w:eastAsia="仿宋_GB2312" w:cs="仿宋_GB2312"/>
                      <w:b/>
                      <w:bCs w:val="0"/>
                      <w:color w:val="auto"/>
                      <w:sz w:val="21"/>
                      <w:szCs w:val="21"/>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auto"/>
                      <w:sz w:val="21"/>
                      <w:szCs w:val="21"/>
                    </w:rPr>
                  </w:pPr>
                </w:p>
              </w:tc>
              <w:tc>
                <w:tcPr>
                  <w:tcW w:w="1161" w:type="dxa"/>
                  <w:vMerge w:val="continue"/>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auto"/>
                      <w:sz w:val="21"/>
                      <w:szCs w:val="21"/>
                    </w:rPr>
                  </w:pPr>
                </w:p>
              </w:tc>
              <w:tc>
                <w:tcPr>
                  <w:tcW w:w="1267" w:type="dxa"/>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default" w:ascii="仿宋_GB2312" w:hAnsi="仿宋_GB2312" w:eastAsia="仿宋_GB2312" w:cs="仿宋_GB2312"/>
                      <w:b w:val="0"/>
                      <w:bCs/>
                      <w:color w:val="auto"/>
                      <w:sz w:val="21"/>
                      <w:szCs w:val="21"/>
                      <w:lang w:val="en-US" w:eastAsia="zh-CN"/>
                    </w:rPr>
                  </w:pPr>
                  <w:r>
                    <w:rPr>
                      <w:rFonts w:hint="eastAsia" w:ascii="仿宋_GB2312" w:hAnsi="仿宋_GB2312" w:eastAsia="仿宋_GB2312" w:cs="仿宋_GB2312"/>
                      <w:b w:val="0"/>
                      <w:bCs/>
                      <w:color w:val="auto"/>
                      <w:sz w:val="21"/>
                      <w:szCs w:val="21"/>
                      <w:lang w:val="en-US" w:eastAsia="zh-CN"/>
                    </w:rPr>
                    <w:t>第二次</w:t>
                  </w:r>
                </w:p>
              </w:tc>
              <w:tc>
                <w:tcPr>
                  <w:tcW w:w="949" w:type="dxa"/>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default" w:ascii="仿宋_GB2312" w:hAnsi="仿宋_GB2312" w:eastAsia="仿宋_GB2312" w:cs="仿宋_GB2312"/>
                      <w:b w:val="0"/>
                      <w:bCs/>
                      <w:color w:val="auto"/>
                      <w:sz w:val="21"/>
                      <w:szCs w:val="21"/>
                      <w:lang w:val="en-US" w:eastAsia="zh-CN"/>
                    </w:rPr>
                  </w:pPr>
                  <w:r>
                    <w:rPr>
                      <w:rFonts w:hint="default" w:ascii="仿宋_GB2312" w:hAnsi="仿宋_GB2312" w:eastAsia="仿宋_GB2312" w:cs="仿宋_GB2312"/>
                      <w:b w:val="0"/>
                      <w:bCs/>
                      <w:color w:val="auto"/>
                      <w:sz w:val="21"/>
                      <w:szCs w:val="21"/>
                      <w:lang w:val="en-US" w:eastAsia="zh-CN"/>
                    </w:rPr>
                    <w:t>0.167</w:t>
                  </w:r>
                </w:p>
              </w:tc>
              <w:tc>
                <w:tcPr>
                  <w:tcW w:w="949" w:type="dxa"/>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default" w:ascii="仿宋_GB2312" w:hAnsi="仿宋_GB2312" w:eastAsia="仿宋_GB2312" w:cs="仿宋_GB2312"/>
                      <w:b w:val="0"/>
                      <w:bCs/>
                      <w:color w:val="auto"/>
                      <w:sz w:val="21"/>
                      <w:szCs w:val="21"/>
                      <w:lang w:val="en-US" w:eastAsia="zh-CN"/>
                    </w:rPr>
                  </w:pPr>
                  <w:r>
                    <w:rPr>
                      <w:rFonts w:hint="default" w:ascii="仿宋_GB2312" w:hAnsi="仿宋_GB2312" w:eastAsia="仿宋_GB2312" w:cs="仿宋_GB2312"/>
                      <w:b w:val="0"/>
                      <w:bCs/>
                      <w:color w:val="auto"/>
                      <w:sz w:val="21"/>
                      <w:szCs w:val="21"/>
                      <w:lang w:val="en-US" w:eastAsia="zh-CN"/>
                    </w:rPr>
                    <w:t>0.217</w:t>
                  </w:r>
                </w:p>
              </w:tc>
              <w:tc>
                <w:tcPr>
                  <w:tcW w:w="949" w:type="dxa"/>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default" w:ascii="仿宋_GB2312" w:hAnsi="仿宋_GB2312" w:eastAsia="仿宋_GB2312" w:cs="仿宋_GB2312"/>
                      <w:b w:val="0"/>
                      <w:bCs/>
                      <w:color w:val="auto"/>
                      <w:sz w:val="21"/>
                      <w:szCs w:val="21"/>
                      <w:lang w:val="en-US" w:eastAsia="zh-CN"/>
                    </w:rPr>
                  </w:pPr>
                  <w:r>
                    <w:rPr>
                      <w:rFonts w:hint="default" w:ascii="仿宋_GB2312" w:hAnsi="仿宋_GB2312" w:eastAsia="仿宋_GB2312" w:cs="仿宋_GB2312"/>
                      <w:b w:val="0"/>
                      <w:bCs/>
                      <w:color w:val="auto"/>
                      <w:sz w:val="21"/>
                      <w:szCs w:val="21"/>
                      <w:lang w:val="en-US" w:eastAsia="zh-CN"/>
                    </w:rPr>
                    <w:t>0.250</w:t>
                  </w:r>
                </w:p>
              </w:tc>
              <w:tc>
                <w:tcPr>
                  <w:tcW w:w="949" w:type="dxa"/>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default" w:ascii="仿宋_GB2312" w:hAnsi="仿宋_GB2312" w:eastAsia="仿宋_GB2312" w:cs="仿宋_GB2312"/>
                      <w:b w:val="0"/>
                      <w:bCs/>
                      <w:color w:val="auto"/>
                      <w:sz w:val="21"/>
                      <w:szCs w:val="21"/>
                      <w:lang w:val="en-US" w:eastAsia="zh-CN"/>
                    </w:rPr>
                  </w:pPr>
                  <w:r>
                    <w:rPr>
                      <w:rFonts w:hint="default" w:ascii="仿宋_GB2312" w:hAnsi="仿宋_GB2312" w:eastAsia="仿宋_GB2312" w:cs="仿宋_GB2312"/>
                      <w:b w:val="0"/>
                      <w:bCs/>
                      <w:color w:val="auto"/>
                      <w:sz w:val="21"/>
                      <w:szCs w:val="21"/>
                      <w:lang w:val="en-US" w:eastAsia="zh-CN"/>
                    </w:rPr>
                    <w:t>0.283</w:t>
                  </w:r>
                </w:p>
              </w:tc>
              <w:tc>
                <w:tcPr>
                  <w:tcW w:w="1153" w:type="dxa"/>
                  <w:vMerge w:val="continue"/>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auto"/>
                      <w:sz w:val="21"/>
                      <w:szCs w:val="21"/>
                    </w:rPr>
                  </w:pPr>
                </w:p>
              </w:tc>
              <w:tc>
                <w:tcPr>
                  <w:tcW w:w="561" w:type="dxa"/>
                  <w:vMerge w:val="continue"/>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eastAsia" w:ascii="仿宋_GB2312" w:hAnsi="仿宋_GB2312" w:eastAsia="仿宋_GB2312" w:cs="仿宋_GB2312"/>
                      <w:b/>
                      <w:bCs w:val="0"/>
                      <w:color w:val="auto"/>
                      <w:sz w:val="21"/>
                      <w:szCs w:val="21"/>
                    </w:rPr>
                  </w:pPr>
                </w:p>
              </w:tc>
              <w:tc>
                <w:tcPr>
                  <w:tcW w:w="602" w:type="dxa"/>
                  <w:vMerge w:val="continue"/>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eastAsia" w:ascii="仿宋_GB2312" w:hAnsi="仿宋_GB2312" w:eastAsia="仿宋_GB2312" w:cs="仿宋_GB2312"/>
                      <w:b/>
                      <w:bCs w:val="0"/>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auto"/>
                      <w:sz w:val="21"/>
                      <w:szCs w:val="21"/>
                    </w:rPr>
                  </w:pPr>
                </w:p>
              </w:tc>
              <w:tc>
                <w:tcPr>
                  <w:tcW w:w="1161" w:type="dxa"/>
                  <w:vMerge w:val="continue"/>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auto"/>
                      <w:sz w:val="21"/>
                      <w:szCs w:val="21"/>
                    </w:rPr>
                  </w:pPr>
                </w:p>
              </w:tc>
              <w:tc>
                <w:tcPr>
                  <w:tcW w:w="1267" w:type="dxa"/>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default" w:ascii="仿宋_GB2312" w:hAnsi="仿宋_GB2312" w:eastAsia="仿宋_GB2312" w:cs="仿宋_GB2312"/>
                      <w:b w:val="0"/>
                      <w:bCs/>
                      <w:color w:val="auto"/>
                      <w:sz w:val="21"/>
                      <w:szCs w:val="21"/>
                      <w:lang w:val="en-US" w:eastAsia="zh-CN"/>
                    </w:rPr>
                  </w:pPr>
                  <w:r>
                    <w:rPr>
                      <w:rFonts w:hint="eastAsia" w:ascii="仿宋_GB2312" w:hAnsi="仿宋_GB2312" w:eastAsia="仿宋_GB2312" w:cs="仿宋_GB2312"/>
                      <w:b w:val="0"/>
                      <w:bCs/>
                      <w:color w:val="auto"/>
                      <w:sz w:val="21"/>
                      <w:szCs w:val="21"/>
                      <w:lang w:val="en-US" w:eastAsia="zh-CN"/>
                    </w:rPr>
                    <w:t>第三次</w:t>
                  </w:r>
                </w:p>
              </w:tc>
              <w:tc>
                <w:tcPr>
                  <w:tcW w:w="949" w:type="dxa"/>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default" w:ascii="仿宋_GB2312" w:hAnsi="仿宋_GB2312" w:eastAsia="仿宋_GB2312" w:cs="仿宋_GB2312"/>
                      <w:b w:val="0"/>
                      <w:bCs/>
                      <w:color w:val="auto"/>
                      <w:sz w:val="21"/>
                      <w:szCs w:val="21"/>
                      <w:lang w:val="en-US" w:eastAsia="zh-CN"/>
                    </w:rPr>
                  </w:pPr>
                  <w:r>
                    <w:rPr>
                      <w:rFonts w:hint="default" w:ascii="仿宋_GB2312" w:hAnsi="仿宋_GB2312" w:eastAsia="仿宋_GB2312" w:cs="仿宋_GB2312"/>
                      <w:b w:val="0"/>
                      <w:bCs/>
                      <w:color w:val="auto"/>
                      <w:sz w:val="21"/>
                      <w:szCs w:val="21"/>
                      <w:lang w:val="en-US" w:eastAsia="zh-CN"/>
                    </w:rPr>
                    <w:t>0.183</w:t>
                  </w:r>
                </w:p>
              </w:tc>
              <w:tc>
                <w:tcPr>
                  <w:tcW w:w="949" w:type="dxa"/>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default" w:ascii="仿宋_GB2312" w:hAnsi="仿宋_GB2312" w:eastAsia="仿宋_GB2312" w:cs="仿宋_GB2312"/>
                      <w:b w:val="0"/>
                      <w:bCs/>
                      <w:color w:val="auto"/>
                      <w:sz w:val="21"/>
                      <w:szCs w:val="21"/>
                      <w:lang w:val="en-US" w:eastAsia="zh-CN"/>
                    </w:rPr>
                  </w:pPr>
                  <w:r>
                    <w:rPr>
                      <w:rFonts w:hint="default" w:ascii="仿宋_GB2312" w:hAnsi="仿宋_GB2312" w:eastAsia="仿宋_GB2312" w:cs="仿宋_GB2312"/>
                      <w:b w:val="0"/>
                      <w:bCs/>
                      <w:color w:val="auto"/>
                      <w:sz w:val="21"/>
                      <w:szCs w:val="21"/>
                      <w:lang w:val="en-US" w:eastAsia="zh-CN"/>
                    </w:rPr>
                    <w:t>0.217</w:t>
                  </w:r>
                </w:p>
              </w:tc>
              <w:tc>
                <w:tcPr>
                  <w:tcW w:w="949" w:type="dxa"/>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default" w:ascii="仿宋_GB2312" w:hAnsi="仿宋_GB2312" w:eastAsia="仿宋_GB2312" w:cs="仿宋_GB2312"/>
                      <w:b w:val="0"/>
                      <w:bCs/>
                      <w:color w:val="auto"/>
                      <w:sz w:val="21"/>
                      <w:szCs w:val="21"/>
                      <w:lang w:val="en-US" w:eastAsia="zh-CN"/>
                    </w:rPr>
                  </w:pPr>
                  <w:r>
                    <w:rPr>
                      <w:rFonts w:hint="default" w:ascii="仿宋_GB2312" w:hAnsi="仿宋_GB2312" w:eastAsia="仿宋_GB2312" w:cs="仿宋_GB2312"/>
                      <w:b w:val="0"/>
                      <w:bCs/>
                      <w:color w:val="auto"/>
                      <w:sz w:val="21"/>
                      <w:szCs w:val="21"/>
                      <w:lang w:val="en-US" w:eastAsia="zh-CN"/>
                    </w:rPr>
                    <w:t>0.250</w:t>
                  </w:r>
                </w:p>
              </w:tc>
              <w:tc>
                <w:tcPr>
                  <w:tcW w:w="949" w:type="dxa"/>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default" w:ascii="仿宋_GB2312" w:hAnsi="仿宋_GB2312" w:eastAsia="仿宋_GB2312" w:cs="仿宋_GB2312"/>
                      <w:b w:val="0"/>
                      <w:bCs/>
                      <w:color w:val="auto"/>
                      <w:sz w:val="21"/>
                      <w:szCs w:val="21"/>
                      <w:lang w:val="en-US" w:eastAsia="zh-CN"/>
                    </w:rPr>
                  </w:pPr>
                  <w:r>
                    <w:rPr>
                      <w:rFonts w:hint="default" w:ascii="仿宋_GB2312" w:hAnsi="仿宋_GB2312" w:eastAsia="仿宋_GB2312" w:cs="仿宋_GB2312"/>
                      <w:b w:val="0"/>
                      <w:bCs/>
                      <w:color w:val="auto"/>
                      <w:sz w:val="21"/>
                      <w:szCs w:val="21"/>
                      <w:lang w:val="en-US" w:eastAsia="zh-CN"/>
                    </w:rPr>
                    <w:t>0.300</w:t>
                  </w:r>
                </w:p>
              </w:tc>
              <w:tc>
                <w:tcPr>
                  <w:tcW w:w="1153" w:type="dxa"/>
                  <w:vMerge w:val="continue"/>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auto"/>
                      <w:sz w:val="21"/>
                      <w:szCs w:val="21"/>
                    </w:rPr>
                  </w:pPr>
                </w:p>
              </w:tc>
              <w:tc>
                <w:tcPr>
                  <w:tcW w:w="561" w:type="dxa"/>
                  <w:vMerge w:val="continue"/>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eastAsia" w:ascii="仿宋_GB2312" w:hAnsi="仿宋_GB2312" w:eastAsia="仿宋_GB2312" w:cs="仿宋_GB2312"/>
                      <w:b/>
                      <w:bCs w:val="0"/>
                      <w:color w:val="auto"/>
                      <w:sz w:val="21"/>
                      <w:szCs w:val="21"/>
                    </w:rPr>
                  </w:pPr>
                </w:p>
              </w:tc>
              <w:tc>
                <w:tcPr>
                  <w:tcW w:w="602" w:type="dxa"/>
                  <w:vMerge w:val="continue"/>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eastAsia" w:ascii="仿宋_GB2312" w:hAnsi="仿宋_GB2312" w:eastAsia="仿宋_GB2312" w:cs="仿宋_GB2312"/>
                      <w:b/>
                      <w:bCs w:val="0"/>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auto"/>
                      <w:sz w:val="21"/>
                      <w:szCs w:val="21"/>
                    </w:rPr>
                  </w:pPr>
                </w:p>
              </w:tc>
              <w:tc>
                <w:tcPr>
                  <w:tcW w:w="1161" w:type="dxa"/>
                  <w:vMerge w:val="restart"/>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auto"/>
                      <w:sz w:val="21"/>
                      <w:szCs w:val="21"/>
                    </w:rPr>
                  </w:pPr>
                  <w:r>
                    <w:rPr>
                      <w:rFonts w:hint="eastAsia" w:ascii="仿宋_GB2312" w:hAnsi="仿宋_GB2312" w:eastAsia="仿宋_GB2312" w:cs="仿宋_GB2312"/>
                      <w:b w:val="0"/>
                      <w:bCs/>
                      <w:color w:val="auto"/>
                      <w:sz w:val="21"/>
                      <w:szCs w:val="21"/>
                      <w:highlight w:val="none"/>
                      <w:lang w:eastAsia="zh-CN"/>
                    </w:rPr>
                    <w:t>2021-5-2</w:t>
                  </w:r>
                  <w:r>
                    <w:rPr>
                      <w:rFonts w:hint="eastAsia" w:ascii="仿宋_GB2312" w:hAnsi="仿宋_GB2312" w:eastAsia="仿宋_GB2312" w:cs="仿宋_GB2312"/>
                      <w:b w:val="0"/>
                      <w:bCs/>
                      <w:color w:val="auto"/>
                      <w:sz w:val="21"/>
                      <w:szCs w:val="21"/>
                      <w:highlight w:val="none"/>
                      <w:lang w:val="en-US" w:eastAsia="zh-CN"/>
                    </w:rPr>
                    <w:t>7</w:t>
                  </w:r>
                </w:p>
              </w:tc>
              <w:tc>
                <w:tcPr>
                  <w:tcW w:w="1267" w:type="dxa"/>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auto"/>
                      <w:sz w:val="21"/>
                      <w:szCs w:val="21"/>
                      <w:lang w:val="en-US" w:eastAsia="zh-CN"/>
                    </w:rPr>
                  </w:pPr>
                  <w:r>
                    <w:rPr>
                      <w:rFonts w:hint="eastAsia" w:ascii="仿宋_GB2312" w:hAnsi="仿宋_GB2312" w:eastAsia="仿宋_GB2312" w:cs="仿宋_GB2312"/>
                      <w:b w:val="0"/>
                      <w:bCs/>
                      <w:color w:val="auto"/>
                      <w:sz w:val="21"/>
                      <w:szCs w:val="21"/>
                      <w:lang w:val="en-US" w:eastAsia="zh-CN"/>
                    </w:rPr>
                    <w:t>第一次</w:t>
                  </w:r>
                </w:p>
              </w:tc>
              <w:tc>
                <w:tcPr>
                  <w:tcW w:w="949" w:type="dxa"/>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default" w:ascii="仿宋_GB2312" w:hAnsi="仿宋_GB2312" w:eastAsia="仿宋_GB2312" w:cs="仿宋_GB2312"/>
                      <w:b w:val="0"/>
                      <w:bCs/>
                      <w:color w:val="auto"/>
                      <w:sz w:val="21"/>
                      <w:szCs w:val="21"/>
                      <w:lang w:val="en-US" w:eastAsia="zh-CN"/>
                    </w:rPr>
                  </w:pPr>
                  <w:r>
                    <w:rPr>
                      <w:rFonts w:hint="default" w:ascii="仿宋_GB2312" w:hAnsi="仿宋_GB2312" w:eastAsia="仿宋_GB2312" w:cs="仿宋_GB2312"/>
                      <w:b w:val="0"/>
                      <w:bCs/>
                      <w:color w:val="auto"/>
                      <w:sz w:val="21"/>
                      <w:szCs w:val="21"/>
                      <w:lang w:val="en-US" w:eastAsia="zh-CN"/>
                    </w:rPr>
                    <w:t>0.150</w:t>
                  </w:r>
                </w:p>
              </w:tc>
              <w:tc>
                <w:tcPr>
                  <w:tcW w:w="949" w:type="dxa"/>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default" w:ascii="仿宋_GB2312" w:hAnsi="仿宋_GB2312" w:eastAsia="仿宋_GB2312" w:cs="仿宋_GB2312"/>
                      <w:b w:val="0"/>
                      <w:bCs/>
                      <w:color w:val="auto"/>
                      <w:sz w:val="21"/>
                      <w:szCs w:val="21"/>
                      <w:lang w:val="en-US" w:eastAsia="zh-CN"/>
                    </w:rPr>
                  </w:pPr>
                  <w:r>
                    <w:rPr>
                      <w:rFonts w:hint="default" w:ascii="仿宋_GB2312" w:hAnsi="仿宋_GB2312" w:eastAsia="仿宋_GB2312" w:cs="仿宋_GB2312"/>
                      <w:b w:val="0"/>
                      <w:bCs/>
                      <w:color w:val="auto"/>
                      <w:sz w:val="21"/>
                      <w:szCs w:val="21"/>
                      <w:lang w:val="en-US" w:eastAsia="zh-CN"/>
                    </w:rPr>
                    <w:t>0.183</w:t>
                  </w:r>
                </w:p>
              </w:tc>
              <w:tc>
                <w:tcPr>
                  <w:tcW w:w="949" w:type="dxa"/>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default" w:ascii="仿宋_GB2312" w:hAnsi="仿宋_GB2312" w:eastAsia="仿宋_GB2312" w:cs="仿宋_GB2312"/>
                      <w:b w:val="0"/>
                      <w:bCs/>
                      <w:color w:val="auto"/>
                      <w:sz w:val="21"/>
                      <w:szCs w:val="21"/>
                      <w:lang w:val="en-US" w:eastAsia="zh-CN"/>
                    </w:rPr>
                  </w:pPr>
                  <w:r>
                    <w:rPr>
                      <w:rFonts w:hint="default" w:ascii="仿宋_GB2312" w:hAnsi="仿宋_GB2312" w:eastAsia="仿宋_GB2312" w:cs="仿宋_GB2312"/>
                      <w:b w:val="0"/>
                      <w:bCs/>
                      <w:color w:val="auto"/>
                      <w:sz w:val="21"/>
                      <w:szCs w:val="21"/>
                      <w:lang w:val="en-US" w:eastAsia="zh-CN"/>
                    </w:rPr>
                    <w:t>0.217</w:t>
                  </w:r>
                </w:p>
              </w:tc>
              <w:tc>
                <w:tcPr>
                  <w:tcW w:w="949" w:type="dxa"/>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default" w:ascii="仿宋_GB2312" w:hAnsi="仿宋_GB2312" w:eastAsia="仿宋_GB2312" w:cs="仿宋_GB2312"/>
                      <w:b w:val="0"/>
                      <w:bCs/>
                      <w:color w:val="auto"/>
                      <w:sz w:val="21"/>
                      <w:szCs w:val="21"/>
                      <w:lang w:val="en-US" w:eastAsia="zh-CN"/>
                    </w:rPr>
                  </w:pPr>
                  <w:r>
                    <w:rPr>
                      <w:rFonts w:hint="default" w:ascii="仿宋_GB2312" w:hAnsi="仿宋_GB2312" w:eastAsia="仿宋_GB2312" w:cs="仿宋_GB2312"/>
                      <w:b w:val="0"/>
                      <w:bCs/>
                      <w:color w:val="auto"/>
                      <w:sz w:val="21"/>
                      <w:szCs w:val="21"/>
                      <w:lang w:val="en-US" w:eastAsia="zh-CN"/>
                    </w:rPr>
                    <w:t>0.267</w:t>
                  </w:r>
                </w:p>
              </w:tc>
              <w:tc>
                <w:tcPr>
                  <w:tcW w:w="1153" w:type="dxa"/>
                  <w:vMerge w:val="restart"/>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default" w:ascii="仿宋_GB2312" w:hAnsi="仿宋_GB2312" w:eastAsia="仿宋_GB2312" w:cs="仿宋_GB2312"/>
                      <w:b w:val="0"/>
                      <w:bCs/>
                      <w:color w:val="auto"/>
                      <w:sz w:val="21"/>
                      <w:szCs w:val="21"/>
                      <w:lang w:val="en-US" w:eastAsia="zh-CN"/>
                    </w:rPr>
                  </w:pPr>
                  <w:r>
                    <w:rPr>
                      <w:rFonts w:hint="eastAsia" w:ascii="仿宋_GB2312" w:hAnsi="仿宋_GB2312" w:eastAsia="仿宋_GB2312" w:cs="仿宋_GB2312"/>
                      <w:b w:val="0"/>
                      <w:bCs/>
                      <w:color w:val="auto"/>
                      <w:sz w:val="21"/>
                      <w:szCs w:val="21"/>
                      <w:lang w:val="en-US" w:eastAsia="zh-CN"/>
                    </w:rPr>
                    <w:t>0.283</w:t>
                  </w:r>
                </w:p>
              </w:tc>
              <w:tc>
                <w:tcPr>
                  <w:tcW w:w="561" w:type="dxa"/>
                  <w:vMerge w:val="restart"/>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default" w:ascii="仿宋_GB2312" w:hAnsi="仿宋_GB2312" w:eastAsia="仿宋_GB2312" w:cs="仿宋_GB2312"/>
                      <w:b/>
                      <w:bCs w:val="0"/>
                      <w:color w:val="auto"/>
                      <w:sz w:val="21"/>
                      <w:szCs w:val="21"/>
                      <w:lang w:val="en-US" w:eastAsia="zh-CN"/>
                    </w:rPr>
                  </w:pPr>
                  <w:r>
                    <w:rPr>
                      <w:rFonts w:hint="eastAsia" w:ascii="仿宋_GB2312" w:hAnsi="仿宋_GB2312" w:eastAsia="仿宋_GB2312" w:cs="仿宋_GB2312"/>
                      <w:b/>
                      <w:bCs w:val="0"/>
                      <w:color w:val="auto"/>
                      <w:sz w:val="21"/>
                      <w:szCs w:val="21"/>
                      <w:lang w:val="en-US" w:eastAsia="zh-CN"/>
                    </w:rPr>
                    <w:t>0.5</w:t>
                  </w:r>
                </w:p>
              </w:tc>
              <w:tc>
                <w:tcPr>
                  <w:tcW w:w="602" w:type="dxa"/>
                  <w:vMerge w:val="restart"/>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eastAsia" w:ascii="仿宋_GB2312" w:hAnsi="仿宋_GB2312" w:eastAsia="仿宋_GB2312" w:cs="仿宋_GB2312"/>
                      <w:b/>
                      <w:bCs w:val="0"/>
                      <w:color w:val="auto"/>
                      <w:sz w:val="21"/>
                      <w:szCs w:val="21"/>
                      <w:lang w:eastAsia="zh-CN"/>
                    </w:rPr>
                  </w:pPr>
                  <w:r>
                    <w:rPr>
                      <w:rFonts w:hint="eastAsia" w:ascii="仿宋_GB2312" w:hAnsi="仿宋_GB2312" w:eastAsia="仿宋_GB2312" w:cs="仿宋_GB2312"/>
                      <w:b/>
                      <w:bCs w:val="0"/>
                      <w:color w:val="auto"/>
                      <w:sz w:val="21"/>
                      <w:szCs w:val="21"/>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auto"/>
                      <w:sz w:val="21"/>
                      <w:szCs w:val="21"/>
                    </w:rPr>
                  </w:pPr>
                </w:p>
              </w:tc>
              <w:tc>
                <w:tcPr>
                  <w:tcW w:w="1161" w:type="dxa"/>
                  <w:vMerge w:val="continue"/>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auto"/>
                      <w:sz w:val="21"/>
                      <w:szCs w:val="21"/>
                    </w:rPr>
                  </w:pPr>
                </w:p>
              </w:tc>
              <w:tc>
                <w:tcPr>
                  <w:tcW w:w="1267" w:type="dxa"/>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auto"/>
                      <w:sz w:val="21"/>
                      <w:szCs w:val="21"/>
                      <w:lang w:val="en-US" w:eastAsia="zh-CN"/>
                    </w:rPr>
                  </w:pPr>
                  <w:r>
                    <w:rPr>
                      <w:rFonts w:hint="eastAsia" w:ascii="仿宋_GB2312" w:hAnsi="仿宋_GB2312" w:eastAsia="仿宋_GB2312" w:cs="仿宋_GB2312"/>
                      <w:b w:val="0"/>
                      <w:bCs/>
                      <w:color w:val="auto"/>
                      <w:sz w:val="21"/>
                      <w:szCs w:val="21"/>
                      <w:lang w:val="en-US" w:eastAsia="zh-CN"/>
                    </w:rPr>
                    <w:t>第二次</w:t>
                  </w:r>
                </w:p>
              </w:tc>
              <w:tc>
                <w:tcPr>
                  <w:tcW w:w="949" w:type="dxa"/>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default" w:ascii="仿宋_GB2312" w:hAnsi="仿宋_GB2312" w:eastAsia="仿宋_GB2312" w:cs="仿宋_GB2312"/>
                      <w:b w:val="0"/>
                      <w:bCs/>
                      <w:color w:val="auto"/>
                      <w:sz w:val="21"/>
                      <w:szCs w:val="21"/>
                      <w:lang w:val="en-US" w:eastAsia="zh-CN"/>
                    </w:rPr>
                  </w:pPr>
                  <w:r>
                    <w:rPr>
                      <w:rFonts w:hint="default" w:ascii="仿宋_GB2312" w:hAnsi="仿宋_GB2312" w:eastAsia="仿宋_GB2312" w:cs="仿宋_GB2312"/>
                      <w:b w:val="0"/>
                      <w:bCs/>
                      <w:color w:val="auto"/>
                      <w:sz w:val="21"/>
                      <w:szCs w:val="21"/>
                      <w:lang w:val="en-US" w:eastAsia="zh-CN"/>
                    </w:rPr>
                    <w:t>0.150</w:t>
                  </w:r>
                </w:p>
              </w:tc>
              <w:tc>
                <w:tcPr>
                  <w:tcW w:w="949" w:type="dxa"/>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default" w:ascii="仿宋_GB2312" w:hAnsi="仿宋_GB2312" w:eastAsia="仿宋_GB2312" w:cs="仿宋_GB2312"/>
                      <w:b w:val="0"/>
                      <w:bCs/>
                      <w:color w:val="auto"/>
                      <w:sz w:val="21"/>
                      <w:szCs w:val="21"/>
                      <w:lang w:val="en-US" w:eastAsia="zh-CN"/>
                    </w:rPr>
                  </w:pPr>
                  <w:r>
                    <w:rPr>
                      <w:rFonts w:hint="default" w:ascii="仿宋_GB2312" w:hAnsi="仿宋_GB2312" w:eastAsia="仿宋_GB2312" w:cs="仿宋_GB2312"/>
                      <w:b w:val="0"/>
                      <w:bCs/>
                      <w:color w:val="auto"/>
                      <w:sz w:val="21"/>
                      <w:szCs w:val="21"/>
                      <w:lang w:val="en-US" w:eastAsia="zh-CN"/>
                    </w:rPr>
                    <w:t>0.183</w:t>
                  </w:r>
                </w:p>
              </w:tc>
              <w:tc>
                <w:tcPr>
                  <w:tcW w:w="949" w:type="dxa"/>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default" w:ascii="仿宋_GB2312" w:hAnsi="仿宋_GB2312" w:eastAsia="仿宋_GB2312" w:cs="仿宋_GB2312"/>
                      <w:b w:val="0"/>
                      <w:bCs/>
                      <w:color w:val="auto"/>
                      <w:sz w:val="21"/>
                      <w:szCs w:val="21"/>
                      <w:lang w:val="en-US" w:eastAsia="zh-CN"/>
                    </w:rPr>
                  </w:pPr>
                  <w:r>
                    <w:rPr>
                      <w:rFonts w:hint="default" w:ascii="仿宋_GB2312" w:hAnsi="仿宋_GB2312" w:eastAsia="仿宋_GB2312" w:cs="仿宋_GB2312"/>
                      <w:b w:val="0"/>
                      <w:bCs/>
                      <w:color w:val="auto"/>
                      <w:sz w:val="21"/>
                      <w:szCs w:val="21"/>
                      <w:lang w:val="en-US" w:eastAsia="zh-CN"/>
                    </w:rPr>
                    <w:t>0.233</w:t>
                  </w:r>
                </w:p>
              </w:tc>
              <w:tc>
                <w:tcPr>
                  <w:tcW w:w="949" w:type="dxa"/>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default" w:ascii="仿宋_GB2312" w:hAnsi="仿宋_GB2312" w:eastAsia="仿宋_GB2312" w:cs="仿宋_GB2312"/>
                      <w:b w:val="0"/>
                      <w:bCs/>
                      <w:color w:val="auto"/>
                      <w:sz w:val="21"/>
                      <w:szCs w:val="21"/>
                      <w:lang w:val="en-US" w:eastAsia="zh-CN"/>
                    </w:rPr>
                  </w:pPr>
                  <w:r>
                    <w:rPr>
                      <w:rFonts w:hint="default" w:ascii="仿宋_GB2312" w:hAnsi="仿宋_GB2312" w:eastAsia="仿宋_GB2312" w:cs="仿宋_GB2312"/>
                      <w:b w:val="0"/>
                      <w:bCs/>
                      <w:color w:val="auto"/>
                      <w:sz w:val="21"/>
                      <w:szCs w:val="21"/>
                      <w:lang w:val="en-US" w:eastAsia="zh-CN"/>
                    </w:rPr>
                    <w:t>0.267</w:t>
                  </w:r>
                </w:p>
              </w:tc>
              <w:tc>
                <w:tcPr>
                  <w:tcW w:w="1153" w:type="dxa"/>
                  <w:vMerge w:val="continue"/>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auto"/>
                      <w:sz w:val="21"/>
                      <w:szCs w:val="21"/>
                    </w:rPr>
                  </w:pPr>
                </w:p>
              </w:tc>
              <w:tc>
                <w:tcPr>
                  <w:tcW w:w="561" w:type="dxa"/>
                  <w:vMerge w:val="continue"/>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eastAsia" w:ascii="仿宋_GB2312" w:hAnsi="仿宋_GB2312" w:eastAsia="仿宋_GB2312" w:cs="仿宋_GB2312"/>
                      <w:b/>
                      <w:bCs w:val="0"/>
                      <w:color w:val="auto"/>
                      <w:sz w:val="21"/>
                      <w:szCs w:val="21"/>
                    </w:rPr>
                  </w:pPr>
                </w:p>
              </w:tc>
              <w:tc>
                <w:tcPr>
                  <w:tcW w:w="602" w:type="dxa"/>
                  <w:vMerge w:val="continue"/>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eastAsia" w:ascii="仿宋_GB2312" w:hAnsi="仿宋_GB2312" w:eastAsia="仿宋_GB2312" w:cs="仿宋_GB2312"/>
                      <w:b/>
                      <w:bCs w:val="0"/>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auto"/>
                      <w:sz w:val="21"/>
                      <w:szCs w:val="21"/>
                    </w:rPr>
                  </w:pPr>
                </w:p>
              </w:tc>
              <w:tc>
                <w:tcPr>
                  <w:tcW w:w="1161" w:type="dxa"/>
                  <w:vMerge w:val="continue"/>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auto"/>
                      <w:sz w:val="21"/>
                      <w:szCs w:val="21"/>
                    </w:rPr>
                  </w:pPr>
                </w:p>
              </w:tc>
              <w:tc>
                <w:tcPr>
                  <w:tcW w:w="1267" w:type="dxa"/>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auto"/>
                      <w:sz w:val="21"/>
                      <w:szCs w:val="21"/>
                      <w:lang w:val="en-US" w:eastAsia="zh-CN"/>
                    </w:rPr>
                  </w:pPr>
                  <w:r>
                    <w:rPr>
                      <w:rFonts w:hint="eastAsia" w:ascii="仿宋_GB2312" w:hAnsi="仿宋_GB2312" w:eastAsia="仿宋_GB2312" w:cs="仿宋_GB2312"/>
                      <w:b w:val="0"/>
                      <w:bCs/>
                      <w:color w:val="auto"/>
                      <w:sz w:val="21"/>
                      <w:szCs w:val="21"/>
                      <w:lang w:val="en-US" w:eastAsia="zh-CN"/>
                    </w:rPr>
                    <w:t>第三次</w:t>
                  </w:r>
                </w:p>
              </w:tc>
              <w:tc>
                <w:tcPr>
                  <w:tcW w:w="949" w:type="dxa"/>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default" w:ascii="仿宋_GB2312" w:hAnsi="仿宋_GB2312" w:eastAsia="仿宋_GB2312" w:cs="仿宋_GB2312"/>
                      <w:b w:val="0"/>
                      <w:bCs/>
                      <w:color w:val="auto"/>
                      <w:sz w:val="21"/>
                      <w:szCs w:val="21"/>
                      <w:lang w:val="en-US" w:eastAsia="zh-CN"/>
                    </w:rPr>
                  </w:pPr>
                  <w:r>
                    <w:rPr>
                      <w:rFonts w:hint="default" w:ascii="仿宋_GB2312" w:hAnsi="仿宋_GB2312" w:eastAsia="仿宋_GB2312" w:cs="仿宋_GB2312"/>
                      <w:b w:val="0"/>
                      <w:bCs/>
                      <w:color w:val="auto"/>
                      <w:sz w:val="21"/>
                      <w:szCs w:val="21"/>
                      <w:lang w:val="en-US" w:eastAsia="zh-CN"/>
                    </w:rPr>
                    <w:t>0.167</w:t>
                  </w:r>
                </w:p>
              </w:tc>
              <w:tc>
                <w:tcPr>
                  <w:tcW w:w="949" w:type="dxa"/>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default" w:ascii="仿宋_GB2312" w:hAnsi="仿宋_GB2312" w:eastAsia="仿宋_GB2312" w:cs="仿宋_GB2312"/>
                      <w:b w:val="0"/>
                      <w:bCs/>
                      <w:color w:val="auto"/>
                      <w:sz w:val="21"/>
                      <w:szCs w:val="21"/>
                      <w:lang w:val="en-US" w:eastAsia="zh-CN"/>
                    </w:rPr>
                  </w:pPr>
                  <w:r>
                    <w:rPr>
                      <w:rFonts w:hint="default" w:ascii="仿宋_GB2312" w:hAnsi="仿宋_GB2312" w:eastAsia="仿宋_GB2312" w:cs="仿宋_GB2312"/>
                      <w:b w:val="0"/>
                      <w:bCs/>
                      <w:color w:val="auto"/>
                      <w:sz w:val="21"/>
                      <w:szCs w:val="21"/>
                      <w:lang w:val="en-US" w:eastAsia="zh-CN"/>
                    </w:rPr>
                    <w:t>0.200</w:t>
                  </w:r>
                </w:p>
              </w:tc>
              <w:tc>
                <w:tcPr>
                  <w:tcW w:w="949" w:type="dxa"/>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default" w:ascii="仿宋_GB2312" w:hAnsi="仿宋_GB2312" w:eastAsia="仿宋_GB2312" w:cs="仿宋_GB2312"/>
                      <w:b w:val="0"/>
                      <w:bCs/>
                      <w:color w:val="auto"/>
                      <w:sz w:val="21"/>
                      <w:szCs w:val="21"/>
                      <w:lang w:val="en-US" w:eastAsia="zh-CN"/>
                    </w:rPr>
                  </w:pPr>
                  <w:r>
                    <w:rPr>
                      <w:rFonts w:hint="default" w:ascii="仿宋_GB2312" w:hAnsi="仿宋_GB2312" w:eastAsia="仿宋_GB2312" w:cs="仿宋_GB2312"/>
                      <w:b w:val="0"/>
                      <w:bCs/>
                      <w:color w:val="auto"/>
                      <w:sz w:val="21"/>
                      <w:szCs w:val="21"/>
                      <w:lang w:val="en-US" w:eastAsia="zh-CN"/>
                    </w:rPr>
                    <w:t>0.250</w:t>
                  </w:r>
                </w:p>
              </w:tc>
              <w:tc>
                <w:tcPr>
                  <w:tcW w:w="949" w:type="dxa"/>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default" w:ascii="仿宋_GB2312" w:hAnsi="仿宋_GB2312" w:eastAsia="仿宋_GB2312" w:cs="仿宋_GB2312"/>
                      <w:b w:val="0"/>
                      <w:bCs/>
                      <w:color w:val="auto"/>
                      <w:sz w:val="21"/>
                      <w:szCs w:val="21"/>
                      <w:lang w:val="en-US" w:eastAsia="zh-CN"/>
                    </w:rPr>
                  </w:pPr>
                  <w:r>
                    <w:rPr>
                      <w:rFonts w:hint="default" w:ascii="仿宋_GB2312" w:hAnsi="仿宋_GB2312" w:eastAsia="仿宋_GB2312" w:cs="仿宋_GB2312"/>
                      <w:b w:val="0"/>
                      <w:bCs/>
                      <w:color w:val="auto"/>
                      <w:sz w:val="21"/>
                      <w:szCs w:val="21"/>
                      <w:lang w:val="en-US" w:eastAsia="zh-CN"/>
                    </w:rPr>
                    <w:t>0.283</w:t>
                  </w:r>
                </w:p>
              </w:tc>
              <w:tc>
                <w:tcPr>
                  <w:tcW w:w="1153" w:type="dxa"/>
                  <w:vMerge w:val="continue"/>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auto"/>
                      <w:sz w:val="21"/>
                      <w:szCs w:val="21"/>
                    </w:rPr>
                  </w:pPr>
                </w:p>
              </w:tc>
              <w:tc>
                <w:tcPr>
                  <w:tcW w:w="561" w:type="dxa"/>
                  <w:vMerge w:val="continue"/>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eastAsia" w:ascii="仿宋_GB2312" w:hAnsi="仿宋_GB2312" w:eastAsia="仿宋_GB2312" w:cs="仿宋_GB2312"/>
                      <w:b/>
                      <w:bCs w:val="0"/>
                      <w:color w:val="auto"/>
                      <w:sz w:val="21"/>
                      <w:szCs w:val="21"/>
                    </w:rPr>
                  </w:pPr>
                </w:p>
              </w:tc>
              <w:tc>
                <w:tcPr>
                  <w:tcW w:w="602" w:type="dxa"/>
                  <w:vMerge w:val="continue"/>
                  <w:noWrap w:val="0"/>
                  <w:vAlign w:val="center"/>
                </w:tcPr>
                <w:p>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jc w:val="center"/>
                    <w:textAlignment w:val="auto"/>
                    <w:outlineLvl w:val="9"/>
                    <w:rPr>
                      <w:rFonts w:hint="eastAsia" w:ascii="仿宋_GB2312" w:hAnsi="仿宋_GB2312" w:eastAsia="仿宋_GB2312" w:cs="仿宋_GB2312"/>
                      <w:b/>
                      <w:bCs w:val="0"/>
                      <w:color w:val="auto"/>
                      <w:sz w:val="21"/>
                      <w:szCs w:val="21"/>
                    </w:rPr>
                  </w:pPr>
                </w:p>
              </w:tc>
            </w:tr>
          </w:tbl>
          <w:p>
            <w:pPr>
              <w:keepNext w:val="0"/>
              <w:keepLines w:val="0"/>
              <w:pageBreakBefore w:val="0"/>
              <w:widowControl w:val="0"/>
              <w:kinsoku/>
              <w:wordWrap w:val="0"/>
              <w:overflowPunct/>
              <w:topLinePunct w:val="0"/>
              <w:autoSpaceDE/>
              <w:autoSpaceDN/>
              <w:bidi w:val="0"/>
              <w:adjustRightInd/>
              <w:snapToGrid/>
              <w:spacing w:line="480" w:lineRule="exact"/>
              <w:ind w:left="0" w:leftChars="0" w:right="0" w:rightChars="0" w:firstLine="560" w:firstLineChars="200"/>
              <w:jc w:val="left"/>
              <w:textAlignment w:val="auto"/>
              <w:outlineLvl w:val="9"/>
              <w:rPr>
                <w:rFonts w:hint="eastAsia" w:ascii="仿宋_GB2312" w:hAnsi="仿宋_GB2312" w:eastAsia="仿宋_GB2312" w:cs="仿宋_GB2312"/>
                <w:b w:val="0"/>
                <w:bCs/>
                <w:color w:val="auto"/>
                <w:sz w:val="28"/>
                <w:szCs w:val="28"/>
                <w:vertAlign w:val="baseline"/>
                <w:lang w:val="en-US" w:eastAsia="zh-CN"/>
              </w:rPr>
            </w:pPr>
            <w:r>
              <w:rPr>
                <w:rFonts w:hint="eastAsia" w:ascii="仿宋_GB2312" w:hAnsi="仿宋_GB2312" w:eastAsia="仿宋_GB2312" w:cs="仿宋_GB2312"/>
                <w:b w:val="0"/>
                <w:bCs/>
                <w:color w:val="auto"/>
                <w:sz w:val="28"/>
                <w:szCs w:val="28"/>
                <w:lang w:eastAsia="zh-CN"/>
              </w:rPr>
              <w:t>经两日监测，</w:t>
            </w:r>
            <w:r>
              <w:rPr>
                <w:rFonts w:hint="eastAsia" w:ascii="仿宋_GB2312" w:hAnsi="仿宋_GB2312" w:eastAsia="仿宋_GB2312" w:cs="仿宋_GB2312"/>
                <w:b w:val="0"/>
                <w:bCs/>
                <w:color w:val="auto"/>
                <w:sz w:val="28"/>
                <w:szCs w:val="28"/>
                <w:lang w:val="en-US" w:eastAsia="zh-CN"/>
              </w:rPr>
              <w:t>所排污染物最大排放浓度</w:t>
            </w:r>
            <w:r>
              <w:rPr>
                <w:rFonts w:hint="eastAsia" w:ascii="仿宋_GB2312" w:hAnsi="仿宋_GB2312" w:eastAsia="仿宋_GB2312" w:cs="仿宋_GB2312"/>
                <w:b w:val="0"/>
                <w:bCs/>
                <w:color w:val="auto"/>
                <w:sz w:val="28"/>
                <w:szCs w:val="28"/>
                <w:vertAlign w:val="baseline"/>
                <w:lang w:val="en-US" w:eastAsia="zh-CN"/>
              </w:rPr>
              <w:t>满足《水泥工业大气污染物排放标准》（GB4915-2013）中相关限值要求。</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仿宋_GB2312" w:eastAsia="仿宋_GB2312" w:cs="仿宋_GB2312"/>
                <w:b/>
                <w:bCs w:val="0"/>
                <w:color w:val="auto"/>
                <w:sz w:val="24"/>
                <w:szCs w:val="24"/>
                <w:lang w:val="en-US" w:eastAsia="zh-CN"/>
              </w:rPr>
            </w:pPr>
            <w:r>
              <w:rPr>
                <w:rFonts w:hint="eastAsia" w:ascii="仿宋_GB2312" w:hAnsi="仿宋_GB2312" w:eastAsia="仿宋_GB2312" w:cs="仿宋_GB2312"/>
                <w:b/>
                <w:bCs w:val="0"/>
                <w:color w:val="auto"/>
                <w:sz w:val="24"/>
                <w:szCs w:val="24"/>
                <w:lang w:val="en-US" w:eastAsia="zh-CN"/>
              </w:rPr>
              <w:t>监测期间气象参数</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3"/>
              <w:gridCol w:w="1291"/>
              <w:gridCol w:w="1332"/>
              <w:gridCol w:w="1332"/>
              <w:gridCol w:w="1332"/>
              <w:gridCol w:w="1332"/>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9" w:type="pct"/>
                  <w:gridSpan w:val="2"/>
                  <w:noWrap w:val="0"/>
                  <w:vAlign w:val="center"/>
                </w:tcPr>
                <w:p>
                  <w:pPr>
                    <w:jc w:val="center"/>
                    <w:rPr>
                      <w:rFonts w:hint="eastAsia" w:ascii="仿宋_GB2312" w:hAnsi="仿宋_GB2312" w:eastAsia="仿宋_GB2312" w:cs="仿宋_GB2312"/>
                      <w:b/>
                      <w:color w:val="auto"/>
                      <w:sz w:val="21"/>
                      <w:szCs w:val="21"/>
                    </w:rPr>
                  </w:pPr>
                  <w:r>
                    <w:rPr>
                      <w:rFonts w:hint="eastAsia" w:ascii="仿宋_GB2312" w:hAnsi="仿宋_GB2312" w:eastAsia="仿宋_GB2312" w:cs="仿宋_GB2312"/>
                      <w:b/>
                      <w:color w:val="auto"/>
                      <w:sz w:val="21"/>
                      <w:szCs w:val="21"/>
                    </w:rPr>
                    <w:t>采样</w:t>
                  </w:r>
                </w:p>
                <w:p>
                  <w:pPr>
                    <w:jc w:val="center"/>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color w:val="auto"/>
                      <w:sz w:val="21"/>
                      <w:szCs w:val="21"/>
                    </w:rPr>
                    <w:t>日期</w:t>
                  </w:r>
                </w:p>
              </w:tc>
              <w:tc>
                <w:tcPr>
                  <w:tcW w:w="725" w:type="pct"/>
                  <w:noWrap w:val="0"/>
                  <w:vAlign w:val="center"/>
                </w:tcPr>
                <w:p>
                  <w:pPr>
                    <w:jc w:val="center"/>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平均风速（m/s）</w:t>
                  </w:r>
                </w:p>
              </w:tc>
              <w:tc>
                <w:tcPr>
                  <w:tcW w:w="725" w:type="pct"/>
                  <w:noWrap w:val="0"/>
                  <w:vAlign w:val="center"/>
                </w:tcPr>
                <w:p>
                  <w:pPr>
                    <w:jc w:val="center"/>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主导</w:t>
                  </w:r>
                </w:p>
                <w:p>
                  <w:pPr>
                    <w:jc w:val="center"/>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风向</w:t>
                  </w:r>
                </w:p>
              </w:tc>
              <w:tc>
                <w:tcPr>
                  <w:tcW w:w="725" w:type="pct"/>
                  <w:noWrap w:val="0"/>
                  <w:vAlign w:val="center"/>
                </w:tcPr>
                <w:p>
                  <w:pPr>
                    <w:jc w:val="center"/>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平均气压</w:t>
                  </w:r>
                </w:p>
                <w:p>
                  <w:pPr>
                    <w:jc w:val="center"/>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(kPa)</w:t>
                  </w:r>
                </w:p>
              </w:tc>
              <w:tc>
                <w:tcPr>
                  <w:tcW w:w="725" w:type="pct"/>
                  <w:noWrap w:val="0"/>
                  <w:vAlign w:val="center"/>
                </w:tcPr>
                <w:p>
                  <w:pPr>
                    <w:jc w:val="center"/>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天气</w:t>
                  </w:r>
                </w:p>
                <w:p>
                  <w:pPr>
                    <w:jc w:val="center"/>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状况</w:t>
                  </w:r>
                </w:p>
              </w:tc>
              <w:tc>
                <w:tcPr>
                  <w:tcW w:w="727" w:type="pct"/>
                  <w:noWrap w:val="0"/>
                  <w:vAlign w:val="center"/>
                </w:tcPr>
                <w:p>
                  <w:pPr>
                    <w:jc w:val="center"/>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平均气温</w:t>
                  </w:r>
                </w:p>
                <w:p>
                  <w:pPr>
                    <w:jc w:val="center"/>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pct"/>
                  <w:vMerge w:val="restart"/>
                  <w:noWrap w:val="0"/>
                  <w:vAlign w:val="center"/>
                </w:tcPr>
                <w:p>
                  <w:pPr>
                    <w:jc w:val="center"/>
                    <w:rPr>
                      <w:rFonts w:hint="eastAsia" w:ascii="仿宋_GB2312" w:hAnsi="仿宋_GB2312" w:eastAsia="仿宋_GB2312" w:cs="仿宋_GB2312"/>
                      <w:bCs/>
                      <w:color w:val="auto"/>
                      <w:kern w:val="0"/>
                      <w:sz w:val="21"/>
                      <w:szCs w:val="21"/>
                      <w:lang w:eastAsia="zh-CN"/>
                    </w:rPr>
                  </w:pPr>
                  <w:r>
                    <w:rPr>
                      <w:rFonts w:hint="eastAsia" w:ascii="仿宋_GB2312" w:hAnsi="仿宋_GB2312" w:eastAsia="仿宋_GB2312" w:cs="仿宋_GB2312"/>
                      <w:color w:val="auto"/>
                      <w:sz w:val="21"/>
                      <w:szCs w:val="21"/>
                      <w:lang w:eastAsia="zh-CN"/>
                    </w:rPr>
                    <w:t>05月26日</w:t>
                  </w:r>
                </w:p>
              </w:tc>
              <w:tc>
                <w:tcPr>
                  <w:tcW w:w="702" w:type="pct"/>
                  <w:noWrap w:val="0"/>
                  <w:vAlign w:val="center"/>
                </w:tcPr>
                <w:p>
                  <w:pPr>
                    <w:jc w:val="center"/>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Ⅰ</w:t>
                  </w:r>
                </w:p>
              </w:tc>
              <w:tc>
                <w:tcPr>
                  <w:tcW w:w="725" w:type="pct"/>
                  <w:noWrap w:val="0"/>
                  <w:vAlign w:val="center"/>
                </w:tcPr>
                <w:p>
                  <w:pPr>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0.72</w:t>
                  </w:r>
                </w:p>
              </w:tc>
              <w:tc>
                <w:tcPr>
                  <w:tcW w:w="725" w:type="pct"/>
                  <w:noWrap w:val="0"/>
                  <w:vAlign w:val="center"/>
                </w:tcPr>
                <w:p>
                  <w:pPr>
                    <w:jc w:val="center"/>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lang w:eastAsia="zh-CN"/>
                    </w:rPr>
                    <w:t>西南</w:t>
                  </w:r>
                </w:p>
              </w:tc>
              <w:tc>
                <w:tcPr>
                  <w:tcW w:w="725" w:type="pct"/>
                  <w:noWrap w:val="0"/>
                  <w:vAlign w:val="center"/>
                </w:tcPr>
                <w:p>
                  <w:pPr>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101.30</w:t>
                  </w:r>
                </w:p>
              </w:tc>
              <w:tc>
                <w:tcPr>
                  <w:tcW w:w="725" w:type="pct"/>
                  <w:noWrap w:val="0"/>
                  <w:vAlign w:val="center"/>
                </w:tcPr>
                <w:p>
                  <w:pPr>
                    <w:jc w:val="center"/>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lang w:eastAsia="zh-CN"/>
                    </w:rPr>
                    <w:t>多云</w:t>
                  </w:r>
                </w:p>
              </w:tc>
              <w:tc>
                <w:tcPr>
                  <w:tcW w:w="727" w:type="pct"/>
                  <w:noWrap w:val="0"/>
                  <w:vAlign w:val="center"/>
                </w:tcPr>
                <w:p>
                  <w:pPr>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pct"/>
                  <w:vMerge w:val="continue"/>
                  <w:noWrap w:val="0"/>
                  <w:vAlign w:val="center"/>
                </w:tcPr>
                <w:p>
                  <w:pPr>
                    <w:jc w:val="center"/>
                    <w:rPr>
                      <w:rFonts w:hint="eastAsia" w:ascii="仿宋_GB2312" w:hAnsi="仿宋_GB2312" w:eastAsia="仿宋_GB2312" w:cs="仿宋_GB2312"/>
                      <w:bCs/>
                      <w:color w:val="auto"/>
                      <w:kern w:val="0"/>
                      <w:sz w:val="21"/>
                      <w:szCs w:val="21"/>
                    </w:rPr>
                  </w:pPr>
                </w:p>
              </w:tc>
              <w:tc>
                <w:tcPr>
                  <w:tcW w:w="702" w:type="pct"/>
                  <w:noWrap w:val="0"/>
                  <w:vAlign w:val="center"/>
                </w:tcPr>
                <w:p>
                  <w:pPr>
                    <w:jc w:val="center"/>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Ⅱ</w:t>
                  </w:r>
                </w:p>
              </w:tc>
              <w:tc>
                <w:tcPr>
                  <w:tcW w:w="725" w:type="pct"/>
                  <w:noWrap w:val="0"/>
                  <w:vAlign w:val="center"/>
                </w:tcPr>
                <w:p>
                  <w:pPr>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0.71</w:t>
                  </w:r>
                </w:p>
              </w:tc>
              <w:tc>
                <w:tcPr>
                  <w:tcW w:w="725" w:type="pct"/>
                  <w:noWrap w:val="0"/>
                  <w:vAlign w:val="center"/>
                </w:tcPr>
                <w:p>
                  <w:pPr>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eastAsia="zh-CN"/>
                    </w:rPr>
                    <w:t>西南</w:t>
                  </w:r>
                </w:p>
              </w:tc>
              <w:tc>
                <w:tcPr>
                  <w:tcW w:w="725" w:type="pct"/>
                  <w:noWrap w:val="0"/>
                  <w:vAlign w:val="center"/>
                </w:tcPr>
                <w:p>
                  <w:pPr>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101.30</w:t>
                  </w:r>
                </w:p>
              </w:tc>
              <w:tc>
                <w:tcPr>
                  <w:tcW w:w="725" w:type="pct"/>
                  <w:noWrap w:val="0"/>
                  <w:vAlign w:val="center"/>
                </w:tcPr>
                <w:p>
                  <w:pPr>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eastAsia="zh-CN"/>
                    </w:rPr>
                    <w:t>多云</w:t>
                  </w:r>
                </w:p>
              </w:tc>
              <w:tc>
                <w:tcPr>
                  <w:tcW w:w="727" w:type="pct"/>
                  <w:noWrap w:val="0"/>
                  <w:vAlign w:val="center"/>
                </w:tcPr>
                <w:p>
                  <w:pPr>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pct"/>
                  <w:vMerge w:val="continue"/>
                  <w:noWrap w:val="0"/>
                  <w:vAlign w:val="center"/>
                </w:tcPr>
                <w:p>
                  <w:pPr>
                    <w:jc w:val="center"/>
                    <w:rPr>
                      <w:rFonts w:hint="eastAsia" w:ascii="仿宋_GB2312" w:hAnsi="仿宋_GB2312" w:eastAsia="仿宋_GB2312" w:cs="仿宋_GB2312"/>
                      <w:color w:val="auto"/>
                      <w:sz w:val="21"/>
                      <w:szCs w:val="21"/>
                    </w:rPr>
                  </w:pPr>
                </w:p>
              </w:tc>
              <w:tc>
                <w:tcPr>
                  <w:tcW w:w="702" w:type="pct"/>
                  <w:noWrap w:val="0"/>
                  <w:vAlign w:val="center"/>
                </w:tcPr>
                <w:p>
                  <w:pPr>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bCs/>
                      <w:color w:val="auto"/>
                      <w:kern w:val="0"/>
                      <w:sz w:val="21"/>
                      <w:szCs w:val="21"/>
                    </w:rPr>
                    <w:t>Ⅲ</w:t>
                  </w:r>
                </w:p>
              </w:tc>
              <w:tc>
                <w:tcPr>
                  <w:tcW w:w="725" w:type="pct"/>
                  <w:noWrap w:val="0"/>
                  <w:vAlign w:val="center"/>
                </w:tcPr>
                <w:p>
                  <w:pPr>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0.72</w:t>
                  </w:r>
                </w:p>
              </w:tc>
              <w:tc>
                <w:tcPr>
                  <w:tcW w:w="725" w:type="pct"/>
                  <w:noWrap w:val="0"/>
                  <w:vAlign w:val="center"/>
                </w:tcPr>
                <w:p>
                  <w:pPr>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eastAsia="zh-CN"/>
                    </w:rPr>
                    <w:t>西南</w:t>
                  </w:r>
                </w:p>
              </w:tc>
              <w:tc>
                <w:tcPr>
                  <w:tcW w:w="725" w:type="pct"/>
                  <w:noWrap w:val="0"/>
                  <w:vAlign w:val="center"/>
                </w:tcPr>
                <w:p>
                  <w:pPr>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101.29</w:t>
                  </w:r>
                </w:p>
              </w:tc>
              <w:tc>
                <w:tcPr>
                  <w:tcW w:w="725" w:type="pct"/>
                  <w:noWrap w:val="0"/>
                  <w:vAlign w:val="center"/>
                </w:tcPr>
                <w:p>
                  <w:pPr>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eastAsia="zh-CN"/>
                    </w:rPr>
                    <w:t>多云</w:t>
                  </w:r>
                </w:p>
              </w:tc>
              <w:tc>
                <w:tcPr>
                  <w:tcW w:w="727" w:type="pct"/>
                  <w:noWrap w:val="0"/>
                  <w:vAlign w:val="center"/>
                </w:tcPr>
                <w:p>
                  <w:pPr>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pct"/>
                  <w:vMerge w:val="restart"/>
                  <w:noWrap w:val="0"/>
                  <w:vAlign w:val="center"/>
                </w:tcPr>
                <w:p>
                  <w:pPr>
                    <w:jc w:val="center"/>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lang w:eastAsia="zh-CN"/>
                    </w:rPr>
                    <w:t>05月27日</w:t>
                  </w:r>
                </w:p>
              </w:tc>
              <w:tc>
                <w:tcPr>
                  <w:tcW w:w="702" w:type="pct"/>
                  <w:noWrap w:val="0"/>
                  <w:vAlign w:val="center"/>
                </w:tcPr>
                <w:p>
                  <w:pPr>
                    <w:jc w:val="center"/>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Ⅰ</w:t>
                  </w:r>
                </w:p>
              </w:tc>
              <w:tc>
                <w:tcPr>
                  <w:tcW w:w="725" w:type="pct"/>
                  <w:noWrap w:val="0"/>
                  <w:vAlign w:val="center"/>
                </w:tcPr>
                <w:p>
                  <w:pPr>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0.87</w:t>
                  </w:r>
                </w:p>
              </w:tc>
              <w:tc>
                <w:tcPr>
                  <w:tcW w:w="725" w:type="pct"/>
                  <w:noWrap w:val="0"/>
                  <w:vAlign w:val="center"/>
                </w:tcPr>
                <w:p>
                  <w:pPr>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eastAsia="zh-CN"/>
                    </w:rPr>
                    <w:t>西南</w:t>
                  </w:r>
                </w:p>
              </w:tc>
              <w:tc>
                <w:tcPr>
                  <w:tcW w:w="725" w:type="pct"/>
                  <w:noWrap w:val="0"/>
                  <w:vAlign w:val="center"/>
                </w:tcPr>
                <w:p>
                  <w:pPr>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100.17</w:t>
                  </w:r>
                </w:p>
              </w:tc>
              <w:tc>
                <w:tcPr>
                  <w:tcW w:w="725" w:type="pct"/>
                  <w:noWrap w:val="0"/>
                  <w:vAlign w:val="center"/>
                </w:tcPr>
                <w:p>
                  <w:pPr>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eastAsia="zh-CN"/>
                    </w:rPr>
                    <w:t>多云</w:t>
                  </w:r>
                </w:p>
              </w:tc>
              <w:tc>
                <w:tcPr>
                  <w:tcW w:w="727" w:type="pct"/>
                  <w:noWrap w:val="0"/>
                  <w:vAlign w:val="center"/>
                </w:tcPr>
                <w:p>
                  <w:pPr>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pct"/>
                  <w:vMerge w:val="continue"/>
                  <w:noWrap w:val="0"/>
                  <w:vAlign w:val="center"/>
                </w:tcPr>
                <w:p>
                  <w:pPr>
                    <w:jc w:val="center"/>
                    <w:rPr>
                      <w:rFonts w:hint="eastAsia" w:ascii="仿宋_GB2312" w:hAnsi="仿宋_GB2312" w:eastAsia="仿宋_GB2312" w:cs="仿宋_GB2312"/>
                      <w:color w:val="auto"/>
                      <w:sz w:val="21"/>
                      <w:szCs w:val="21"/>
                    </w:rPr>
                  </w:pPr>
                </w:p>
              </w:tc>
              <w:tc>
                <w:tcPr>
                  <w:tcW w:w="702" w:type="pct"/>
                  <w:noWrap w:val="0"/>
                  <w:vAlign w:val="center"/>
                </w:tcPr>
                <w:p>
                  <w:pPr>
                    <w:jc w:val="center"/>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Ⅱ</w:t>
                  </w:r>
                </w:p>
              </w:tc>
              <w:tc>
                <w:tcPr>
                  <w:tcW w:w="725" w:type="pct"/>
                  <w:noWrap w:val="0"/>
                  <w:vAlign w:val="center"/>
                </w:tcPr>
                <w:p>
                  <w:pPr>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0.87</w:t>
                  </w:r>
                </w:p>
              </w:tc>
              <w:tc>
                <w:tcPr>
                  <w:tcW w:w="725" w:type="pct"/>
                  <w:noWrap w:val="0"/>
                  <w:vAlign w:val="center"/>
                </w:tcPr>
                <w:p>
                  <w:pPr>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eastAsia="zh-CN"/>
                    </w:rPr>
                    <w:t>西南</w:t>
                  </w:r>
                </w:p>
              </w:tc>
              <w:tc>
                <w:tcPr>
                  <w:tcW w:w="725" w:type="pct"/>
                  <w:noWrap w:val="0"/>
                  <w:vAlign w:val="center"/>
                </w:tcPr>
                <w:p>
                  <w:pPr>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100.16</w:t>
                  </w:r>
                </w:p>
              </w:tc>
              <w:tc>
                <w:tcPr>
                  <w:tcW w:w="725" w:type="pct"/>
                  <w:noWrap w:val="0"/>
                  <w:vAlign w:val="center"/>
                </w:tcPr>
                <w:p>
                  <w:pPr>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eastAsia="zh-CN"/>
                    </w:rPr>
                    <w:t>多云</w:t>
                  </w:r>
                </w:p>
              </w:tc>
              <w:tc>
                <w:tcPr>
                  <w:tcW w:w="727" w:type="pct"/>
                  <w:noWrap w:val="0"/>
                  <w:vAlign w:val="center"/>
                </w:tcPr>
                <w:p>
                  <w:pPr>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pct"/>
                  <w:vMerge w:val="continue"/>
                  <w:noWrap w:val="0"/>
                  <w:vAlign w:val="center"/>
                </w:tcPr>
                <w:p>
                  <w:pPr>
                    <w:jc w:val="center"/>
                    <w:rPr>
                      <w:rFonts w:hint="eastAsia" w:ascii="仿宋_GB2312" w:hAnsi="仿宋_GB2312" w:eastAsia="仿宋_GB2312" w:cs="仿宋_GB2312"/>
                      <w:color w:val="auto"/>
                      <w:sz w:val="21"/>
                      <w:szCs w:val="21"/>
                    </w:rPr>
                  </w:pPr>
                </w:p>
              </w:tc>
              <w:tc>
                <w:tcPr>
                  <w:tcW w:w="702" w:type="pct"/>
                  <w:noWrap w:val="0"/>
                  <w:vAlign w:val="center"/>
                </w:tcPr>
                <w:p>
                  <w:pPr>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bCs/>
                      <w:color w:val="auto"/>
                      <w:kern w:val="0"/>
                      <w:sz w:val="21"/>
                      <w:szCs w:val="21"/>
                    </w:rPr>
                    <w:t>Ⅲ</w:t>
                  </w:r>
                </w:p>
              </w:tc>
              <w:tc>
                <w:tcPr>
                  <w:tcW w:w="725" w:type="pct"/>
                  <w:noWrap w:val="0"/>
                  <w:vAlign w:val="center"/>
                </w:tcPr>
                <w:p>
                  <w:pPr>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0.88</w:t>
                  </w:r>
                </w:p>
              </w:tc>
              <w:tc>
                <w:tcPr>
                  <w:tcW w:w="725" w:type="pct"/>
                  <w:noWrap w:val="0"/>
                  <w:vAlign w:val="center"/>
                </w:tcPr>
                <w:p>
                  <w:pPr>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eastAsia="zh-CN"/>
                    </w:rPr>
                    <w:t>西南</w:t>
                  </w:r>
                </w:p>
              </w:tc>
              <w:tc>
                <w:tcPr>
                  <w:tcW w:w="725" w:type="pct"/>
                  <w:noWrap w:val="0"/>
                  <w:vAlign w:val="center"/>
                </w:tcPr>
                <w:p>
                  <w:pPr>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100.15</w:t>
                  </w:r>
                </w:p>
              </w:tc>
              <w:tc>
                <w:tcPr>
                  <w:tcW w:w="725" w:type="pct"/>
                  <w:noWrap w:val="0"/>
                  <w:vAlign w:val="center"/>
                </w:tcPr>
                <w:p>
                  <w:pPr>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eastAsia="zh-CN"/>
                    </w:rPr>
                    <w:t>多云</w:t>
                  </w:r>
                </w:p>
              </w:tc>
              <w:tc>
                <w:tcPr>
                  <w:tcW w:w="727" w:type="pct"/>
                  <w:noWrap w:val="0"/>
                  <w:vAlign w:val="center"/>
                </w:tcPr>
                <w:p>
                  <w:pPr>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26.4</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4269" w:rightChars="-2033" w:firstLine="0" w:firstLineChars="0"/>
              <w:textAlignment w:val="auto"/>
              <w:rPr>
                <w:rFonts w:hint="eastAsia"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w:t>
            </w:r>
            <w:r>
              <w:rPr>
                <w:rFonts w:hint="eastAsia" w:ascii="仿宋_GB2312" w:hAnsi="仿宋_GB2312" w:eastAsia="仿宋_GB2312" w:cs="仿宋_GB2312"/>
                <w:b/>
                <w:bCs/>
                <w:color w:val="auto"/>
                <w:sz w:val="28"/>
                <w:szCs w:val="28"/>
                <w:lang w:val="en-US" w:eastAsia="zh-CN"/>
              </w:rPr>
              <w:t>2</w:t>
            </w:r>
            <w:r>
              <w:rPr>
                <w:rFonts w:hint="eastAsia" w:ascii="仿宋_GB2312" w:hAnsi="仿宋_GB2312" w:eastAsia="仿宋_GB2312" w:cs="仿宋_GB2312"/>
                <w:b/>
                <w:bCs/>
                <w:color w:val="auto"/>
                <w:sz w:val="28"/>
                <w:szCs w:val="28"/>
                <w:lang w:eastAsia="zh-CN"/>
              </w:rPr>
              <w:t>）厂界噪声监测结果及评价：</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仿宋_GB2312" w:eastAsia="仿宋_GB2312" w:cs="仿宋_GB2312"/>
                <w:b/>
                <w:bCs w:val="0"/>
                <w:color w:val="auto"/>
                <w:sz w:val="24"/>
                <w:szCs w:val="24"/>
                <w:lang w:val="en-US" w:eastAsia="zh-CN"/>
              </w:rPr>
            </w:pPr>
            <w:r>
              <w:rPr>
                <w:rFonts w:hint="eastAsia" w:ascii="仿宋_GB2312" w:hAnsi="仿宋_GB2312" w:eastAsia="仿宋_GB2312" w:cs="仿宋_GB2312"/>
                <w:b/>
                <w:color w:val="auto"/>
                <w:sz w:val="28"/>
                <w:szCs w:val="28"/>
                <w:lang w:val="en-US" w:eastAsia="zh-CN"/>
              </w:rPr>
              <w:t xml:space="preserve"> </w:t>
            </w:r>
            <w:r>
              <w:rPr>
                <w:rFonts w:hint="eastAsia" w:ascii="仿宋_GB2312" w:hAnsi="仿宋_GB2312" w:eastAsia="仿宋_GB2312" w:cs="仿宋_GB2312"/>
                <w:b/>
                <w:bCs w:val="0"/>
                <w:color w:val="auto"/>
                <w:sz w:val="24"/>
                <w:szCs w:val="24"/>
                <w:lang w:val="en-US" w:eastAsia="zh-CN"/>
              </w:rPr>
              <w:t xml:space="preserve"> 噪声监测结果统计表 (单位：dB(A))</w:t>
            </w:r>
          </w:p>
          <w:tbl>
            <w:tblPr>
              <w:tblStyle w:val="16"/>
              <w:tblpPr w:leftFromText="182" w:rightFromText="182" w:vertAnchor="text" w:horzAnchor="margin" w:tblpXSpec="center" w:tblpY="67"/>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3"/>
              <w:gridCol w:w="1588"/>
              <w:gridCol w:w="320"/>
              <w:gridCol w:w="926"/>
              <w:gridCol w:w="986"/>
              <w:gridCol w:w="628"/>
              <w:gridCol w:w="1245"/>
              <w:gridCol w:w="31"/>
              <w:gridCol w:w="1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35" w:type="pct"/>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检测地点</w:t>
                  </w:r>
                </w:p>
              </w:tc>
              <w:tc>
                <w:tcPr>
                  <w:tcW w:w="2422" w:type="pct"/>
                  <w:gridSpan w:val="5"/>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明光市沪光建筑材料有限公司厂界</w:t>
                  </w:r>
                </w:p>
              </w:tc>
              <w:tc>
                <w:tcPr>
                  <w:tcW w:w="678" w:type="pct"/>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样品名称</w:t>
                  </w:r>
                </w:p>
              </w:tc>
              <w:tc>
                <w:tcPr>
                  <w:tcW w:w="1063" w:type="pct"/>
                  <w:gridSpan w:val="2"/>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35" w:type="pct"/>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气象条件</w:t>
                  </w:r>
                </w:p>
              </w:tc>
              <w:tc>
                <w:tcPr>
                  <w:tcW w:w="4164" w:type="pct"/>
                  <w:gridSpan w:val="8"/>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05月26日：多云、风速0.71m/s；05月27日：多云、风速0.87m/s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35" w:type="pct"/>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检测点位</w:t>
                  </w:r>
                </w:p>
              </w:tc>
              <w:tc>
                <w:tcPr>
                  <w:tcW w:w="865" w:type="pct"/>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见点位示意图</w:t>
                  </w:r>
                </w:p>
              </w:tc>
              <w:tc>
                <w:tcPr>
                  <w:tcW w:w="678" w:type="pct"/>
                  <w:gridSpan w:val="2"/>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检测频次</w:t>
                  </w:r>
                </w:p>
              </w:tc>
              <w:tc>
                <w:tcPr>
                  <w:tcW w:w="878" w:type="pct"/>
                  <w:gridSpan w:val="2"/>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昼夜1次测2天</w:t>
                  </w:r>
                </w:p>
              </w:tc>
              <w:tc>
                <w:tcPr>
                  <w:tcW w:w="678" w:type="pct"/>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检测仪器</w:t>
                  </w:r>
                </w:p>
              </w:tc>
              <w:tc>
                <w:tcPr>
                  <w:tcW w:w="1063" w:type="pct"/>
                  <w:gridSpan w:val="2"/>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AWA5688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35" w:type="pct"/>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仪器校正</w:t>
                  </w:r>
                </w:p>
              </w:tc>
              <w:tc>
                <w:tcPr>
                  <w:tcW w:w="2422" w:type="pct"/>
                  <w:gridSpan w:val="5"/>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测前校正值 93.8dB测后校正值93.8dB</w:t>
                  </w:r>
                </w:p>
              </w:tc>
              <w:tc>
                <w:tcPr>
                  <w:tcW w:w="678" w:type="pct"/>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仪器校准</w:t>
                  </w:r>
                </w:p>
              </w:tc>
              <w:tc>
                <w:tcPr>
                  <w:tcW w:w="1063" w:type="pct"/>
                  <w:gridSpan w:val="2"/>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35" w:type="pct"/>
                  <w:vMerge w:val="restart"/>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点位编号</w:t>
                  </w:r>
                </w:p>
              </w:tc>
              <w:tc>
                <w:tcPr>
                  <w:tcW w:w="4164" w:type="pct"/>
                  <w:gridSpan w:val="8"/>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检测时间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35" w:type="pct"/>
                  <w:vMerge w:val="continue"/>
                  <w:noWrap w:val="0"/>
                  <w:vAlign w:val="center"/>
                </w:tcPr>
                <w:p>
                  <w:pPr>
                    <w:jc w:val="center"/>
                    <w:rPr>
                      <w:rFonts w:hint="default" w:ascii="仿宋_GB2312" w:hAnsi="仿宋_GB2312" w:eastAsia="仿宋_GB2312" w:cs="仿宋_GB2312"/>
                      <w:color w:val="auto"/>
                      <w:sz w:val="21"/>
                      <w:szCs w:val="21"/>
                      <w:lang w:val="en-US" w:eastAsia="zh-CN"/>
                    </w:rPr>
                  </w:pPr>
                </w:p>
              </w:tc>
              <w:tc>
                <w:tcPr>
                  <w:tcW w:w="2080" w:type="pct"/>
                  <w:gridSpan w:val="4"/>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2021年05月26日</w:t>
                  </w:r>
                </w:p>
              </w:tc>
              <w:tc>
                <w:tcPr>
                  <w:tcW w:w="2084" w:type="pct"/>
                  <w:gridSpan w:val="4"/>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2021年05月27日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35" w:type="pct"/>
                  <w:vMerge w:val="continue"/>
                  <w:noWrap w:val="0"/>
                  <w:vAlign w:val="center"/>
                </w:tcPr>
                <w:p>
                  <w:pPr>
                    <w:jc w:val="center"/>
                    <w:rPr>
                      <w:rFonts w:hint="default" w:ascii="仿宋_GB2312" w:hAnsi="仿宋_GB2312" w:eastAsia="仿宋_GB2312" w:cs="仿宋_GB2312"/>
                      <w:color w:val="auto"/>
                      <w:sz w:val="21"/>
                      <w:szCs w:val="21"/>
                      <w:lang w:val="en-US" w:eastAsia="zh-CN"/>
                    </w:rPr>
                  </w:pPr>
                </w:p>
              </w:tc>
              <w:tc>
                <w:tcPr>
                  <w:tcW w:w="1039" w:type="pct"/>
                  <w:gridSpan w:val="2"/>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昼间 Leq dB（A）</w:t>
                  </w:r>
                </w:p>
              </w:tc>
              <w:tc>
                <w:tcPr>
                  <w:tcW w:w="1041" w:type="pct"/>
                  <w:gridSpan w:val="2"/>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夜间 Leq dB（A）</w:t>
                  </w:r>
                </w:p>
              </w:tc>
              <w:tc>
                <w:tcPr>
                  <w:tcW w:w="1036" w:type="pct"/>
                  <w:gridSpan w:val="3"/>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昼间 Leq dB（A）</w:t>
                  </w:r>
                </w:p>
              </w:tc>
              <w:tc>
                <w:tcPr>
                  <w:tcW w:w="1048" w:type="pct"/>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夜间 Leq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35" w:type="pct"/>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1#</w:t>
                  </w:r>
                </w:p>
              </w:tc>
              <w:tc>
                <w:tcPr>
                  <w:tcW w:w="1039" w:type="pct"/>
                  <w:gridSpan w:val="2"/>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56.2</w:t>
                  </w:r>
                </w:p>
              </w:tc>
              <w:tc>
                <w:tcPr>
                  <w:tcW w:w="1041" w:type="pct"/>
                  <w:gridSpan w:val="2"/>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47.1</w:t>
                  </w:r>
                </w:p>
              </w:tc>
              <w:tc>
                <w:tcPr>
                  <w:tcW w:w="1036" w:type="pct"/>
                  <w:gridSpan w:val="3"/>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53.4</w:t>
                  </w:r>
                </w:p>
              </w:tc>
              <w:tc>
                <w:tcPr>
                  <w:tcW w:w="1048" w:type="pct"/>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35" w:type="pct"/>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2#</w:t>
                  </w:r>
                </w:p>
              </w:tc>
              <w:tc>
                <w:tcPr>
                  <w:tcW w:w="1039" w:type="pct"/>
                  <w:gridSpan w:val="2"/>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56.3</w:t>
                  </w:r>
                </w:p>
              </w:tc>
              <w:tc>
                <w:tcPr>
                  <w:tcW w:w="1041" w:type="pct"/>
                  <w:gridSpan w:val="2"/>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47.7</w:t>
                  </w:r>
                </w:p>
              </w:tc>
              <w:tc>
                <w:tcPr>
                  <w:tcW w:w="1036" w:type="pct"/>
                  <w:gridSpan w:val="3"/>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56.8</w:t>
                  </w:r>
                </w:p>
              </w:tc>
              <w:tc>
                <w:tcPr>
                  <w:tcW w:w="1048" w:type="pct"/>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35" w:type="pct"/>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3#</w:t>
                  </w:r>
                </w:p>
              </w:tc>
              <w:tc>
                <w:tcPr>
                  <w:tcW w:w="1039" w:type="pct"/>
                  <w:gridSpan w:val="2"/>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52.4</w:t>
                  </w:r>
                </w:p>
              </w:tc>
              <w:tc>
                <w:tcPr>
                  <w:tcW w:w="1041" w:type="pct"/>
                  <w:gridSpan w:val="2"/>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47.1</w:t>
                  </w:r>
                </w:p>
              </w:tc>
              <w:tc>
                <w:tcPr>
                  <w:tcW w:w="1036" w:type="pct"/>
                  <w:gridSpan w:val="3"/>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54.8</w:t>
                  </w:r>
                </w:p>
              </w:tc>
              <w:tc>
                <w:tcPr>
                  <w:tcW w:w="1048" w:type="pct"/>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35" w:type="pct"/>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4#</w:t>
                  </w:r>
                </w:p>
              </w:tc>
              <w:tc>
                <w:tcPr>
                  <w:tcW w:w="1039" w:type="pct"/>
                  <w:gridSpan w:val="2"/>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54.2</w:t>
                  </w:r>
                </w:p>
              </w:tc>
              <w:tc>
                <w:tcPr>
                  <w:tcW w:w="1041" w:type="pct"/>
                  <w:gridSpan w:val="2"/>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46.9</w:t>
                  </w:r>
                </w:p>
              </w:tc>
              <w:tc>
                <w:tcPr>
                  <w:tcW w:w="1036" w:type="pct"/>
                  <w:gridSpan w:val="3"/>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57.0</w:t>
                  </w:r>
                </w:p>
              </w:tc>
              <w:tc>
                <w:tcPr>
                  <w:tcW w:w="1048" w:type="pct"/>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exact"/>
              </w:trPr>
              <w:tc>
                <w:tcPr>
                  <w:tcW w:w="835" w:type="pct"/>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GB12348-2008中二类限值</w:t>
                  </w:r>
                </w:p>
              </w:tc>
              <w:tc>
                <w:tcPr>
                  <w:tcW w:w="2080" w:type="pct"/>
                  <w:gridSpan w:val="4"/>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60</w:t>
                  </w:r>
                </w:p>
              </w:tc>
              <w:tc>
                <w:tcPr>
                  <w:tcW w:w="2084" w:type="pct"/>
                  <w:gridSpan w:val="4"/>
                  <w:noWrap w:val="0"/>
                  <w:vAlign w:val="center"/>
                </w:tcPr>
                <w:p>
                  <w:pPr>
                    <w:jc w:val="center"/>
                    <w:rPr>
                      <w:rFonts w:hint="default" w:ascii="仿宋_GB2312" w:hAnsi="仿宋_GB2312" w:eastAsia="仿宋_GB2312" w:cs="仿宋_GB2312"/>
                      <w:color w:val="auto"/>
                      <w:sz w:val="21"/>
                      <w:szCs w:val="21"/>
                      <w:lang w:val="en-US" w:eastAsia="zh-CN"/>
                    </w:rPr>
                  </w:pPr>
                  <w:r>
                    <w:rPr>
                      <w:rFonts w:hint="default" w:ascii="仿宋_GB2312" w:hAnsi="仿宋_GB2312" w:eastAsia="仿宋_GB2312" w:cs="仿宋_GB2312"/>
                      <w:color w:val="auto"/>
                      <w:sz w:val="21"/>
                      <w:szCs w:val="21"/>
                      <w:lang w:val="en-US" w:eastAsia="zh-CN"/>
                    </w:rPr>
                    <w:t>50</w:t>
                  </w:r>
                </w:p>
              </w:tc>
            </w:tr>
          </w:tbl>
          <w:p>
            <w:pPr>
              <w:keepNext w:val="0"/>
              <w:keepLines w:val="0"/>
              <w:pageBreakBefore w:val="0"/>
              <w:widowControl w:val="0"/>
              <w:kinsoku/>
              <w:wordWrap/>
              <w:overflowPunct/>
              <w:topLinePunct w:val="0"/>
              <w:autoSpaceDE w:val="0"/>
              <w:autoSpaceDN w:val="0"/>
              <w:bidi w:val="0"/>
              <w:adjustRightInd w:val="0"/>
              <w:snapToGrid w:val="0"/>
              <w:spacing w:before="0" w:beforeLines="0" w:line="480" w:lineRule="exact"/>
              <w:ind w:firstLine="548" w:firstLineChars="200"/>
              <w:jc w:val="both"/>
              <w:textAlignment w:val="baseline"/>
              <w:rPr>
                <w:rFonts w:hint="eastAsia" w:ascii="仿宋_GB2312" w:hAnsi="仿宋_GB2312" w:eastAsia="仿宋_GB2312" w:cs="仿宋_GB2312"/>
                <w:b/>
                <w:bCs/>
                <w:color w:val="auto"/>
                <w:spacing w:val="-3"/>
                <w:kern w:val="2"/>
                <w:sz w:val="28"/>
                <w:szCs w:val="28"/>
                <w:lang w:val="en-US" w:eastAsia="zh-CN" w:bidi="ar-SA"/>
              </w:rPr>
            </w:pPr>
            <w:r>
              <w:rPr>
                <w:rFonts w:hint="eastAsia" w:ascii="仿宋_GB2312" w:hAnsi="仿宋_GB2312" w:eastAsia="仿宋_GB2312" w:cs="仿宋_GB2312"/>
                <w:b w:val="0"/>
                <w:bCs w:val="0"/>
                <w:color w:val="auto"/>
                <w:spacing w:val="-3"/>
                <w:kern w:val="2"/>
                <w:sz w:val="28"/>
                <w:szCs w:val="28"/>
                <w:lang w:val="en-US" w:eastAsia="zh-CN" w:bidi="ar-SA"/>
              </w:rPr>
              <w:t>经两日监测，企业厂界昼间最大噪声为57.0</w:t>
            </w:r>
            <w:r>
              <w:rPr>
                <w:rFonts w:hint="eastAsia" w:ascii="仿宋_GB2312" w:hAnsi="仿宋_GB2312" w:eastAsia="仿宋_GB2312" w:cs="仿宋_GB2312"/>
                <w:b w:val="0"/>
                <w:bCs w:val="0"/>
                <w:color w:val="auto"/>
                <w:kern w:val="2"/>
                <w:sz w:val="28"/>
                <w:szCs w:val="28"/>
                <w:lang w:val="en-US" w:eastAsia="zh-CN" w:bidi="ar-SA"/>
              </w:rPr>
              <w:t>dB(A)</w:t>
            </w:r>
            <w:r>
              <w:rPr>
                <w:rFonts w:hint="eastAsia" w:ascii="仿宋_GB2312" w:hAnsi="仿宋_GB2312" w:eastAsia="仿宋_GB2312" w:cs="仿宋_GB2312"/>
                <w:b w:val="0"/>
                <w:bCs w:val="0"/>
                <w:color w:val="auto"/>
                <w:spacing w:val="-3"/>
                <w:kern w:val="2"/>
                <w:sz w:val="28"/>
                <w:szCs w:val="28"/>
                <w:lang w:val="en-US" w:eastAsia="zh-CN" w:bidi="ar-SA"/>
              </w:rPr>
              <w:t>，夜间最大噪声为48.3</w:t>
            </w:r>
            <w:r>
              <w:rPr>
                <w:rFonts w:hint="eastAsia" w:ascii="仿宋_GB2312" w:hAnsi="仿宋_GB2312" w:eastAsia="仿宋_GB2312" w:cs="仿宋_GB2312"/>
                <w:b w:val="0"/>
                <w:bCs w:val="0"/>
                <w:color w:val="auto"/>
                <w:kern w:val="2"/>
                <w:sz w:val="28"/>
                <w:szCs w:val="28"/>
                <w:lang w:val="en-US" w:eastAsia="zh-CN" w:bidi="ar-SA"/>
              </w:rPr>
              <w:t>dB(A)，满足</w:t>
            </w:r>
            <w:r>
              <w:rPr>
                <w:rFonts w:hint="eastAsia" w:ascii="仿宋_GB2312" w:hAnsi="仿宋_GB2312" w:eastAsia="仿宋_GB2312" w:cs="仿宋_GB2312"/>
                <w:color w:val="auto"/>
                <w:spacing w:val="-3"/>
                <w:kern w:val="2"/>
                <w:sz w:val="28"/>
                <w:szCs w:val="28"/>
                <w:lang w:val="en-US" w:eastAsia="zh-CN" w:bidi="ar-SA"/>
              </w:rPr>
              <w:t>《工业企业厂界环境噪声排放标准》(GB12348-2008)中2类标准。</w:t>
            </w:r>
          </w:p>
          <w:p>
            <w:pPr>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rPr>
                <w:rFonts w:hint="eastAsia" w:ascii="仿宋_GB2312" w:hAnsi="仿宋_GB2312" w:eastAsia="仿宋_GB2312" w:cs="仿宋_GB2312"/>
                <w:b/>
                <w:bCs/>
                <w:color w:val="auto"/>
                <w:sz w:val="28"/>
                <w:szCs w:val="28"/>
                <w:lang w:val="en-US" w:eastAsia="zh-CN"/>
              </w:rPr>
            </w:pPr>
          </w:p>
        </w:tc>
      </w:tr>
    </w:tbl>
    <w:p>
      <w:pPr>
        <w:pStyle w:val="4"/>
        <w:keepNext/>
        <w:keepLines/>
        <w:pageBreakBefore w:val="0"/>
        <w:widowControl w:val="0"/>
        <w:kinsoku/>
        <w:wordWrap/>
        <w:overflowPunct/>
        <w:topLinePunct w:val="0"/>
        <w:autoSpaceDE/>
        <w:autoSpaceDN/>
        <w:bidi w:val="0"/>
        <w:adjustRightInd/>
        <w:snapToGrid w:val="0"/>
        <w:spacing w:line="240" w:lineRule="auto"/>
        <w:textAlignment w:val="baseline"/>
        <w:rPr>
          <w:rFonts w:hint="eastAsia"/>
          <w:color w:val="auto"/>
          <w:lang w:eastAsia="zh-CN"/>
        </w:rPr>
      </w:pPr>
      <w:r>
        <w:rPr>
          <w:rFonts w:hint="eastAsia"/>
          <w:color w:val="auto"/>
          <w:lang w:eastAsia="zh-CN"/>
        </w:rPr>
        <w:t>表八</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56" w:hRule="atLeast"/>
          <w:jc w:val="center"/>
        </w:trPr>
        <w:tc>
          <w:tcPr>
            <w:tcW w:w="9354"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bCs/>
                <w:color w:val="auto"/>
                <w:sz w:val="28"/>
                <w:szCs w:val="28"/>
                <w:vertAlign w:val="baseline"/>
                <w:lang w:eastAsia="zh-CN"/>
              </w:rPr>
            </w:pPr>
            <w:r>
              <w:rPr>
                <w:rFonts w:hint="eastAsia" w:ascii="仿宋_GB2312" w:hAnsi="仿宋_GB2312" w:eastAsia="仿宋_GB2312" w:cs="仿宋_GB2312"/>
                <w:b/>
                <w:bCs/>
                <w:color w:val="auto"/>
                <w:sz w:val="28"/>
                <w:szCs w:val="28"/>
                <w:vertAlign w:val="baseline"/>
                <w:lang w:eastAsia="zh-CN"/>
              </w:rPr>
              <w:t>验收监测结论：</w:t>
            </w:r>
          </w:p>
          <w:p>
            <w:pPr>
              <w:keepNext w:val="0"/>
              <w:keepLines w:val="0"/>
              <w:pageBreakBefore w:val="0"/>
              <w:widowControl w:val="0"/>
              <w:numPr>
                <w:ilvl w:val="0"/>
                <w:numId w:val="0"/>
              </w:numPr>
              <w:kinsoku/>
              <w:wordWrap/>
              <w:overflowPunct/>
              <w:topLinePunct w:val="0"/>
              <w:autoSpaceDE/>
              <w:autoSpaceDN/>
              <w:bidi w:val="0"/>
              <w:spacing w:line="440" w:lineRule="exact"/>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结论：</w:t>
            </w:r>
          </w:p>
          <w:p>
            <w:pPr>
              <w:keepNext w:val="0"/>
              <w:keepLines w:val="0"/>
              <w:pageBreakBefore w:val="0"/>
              <w:widowControl w:val="0"/>
              <w:kinsoku/>
              <w:wordWrap/>
              <w:overflowPunct/>
              <w:topLinePunct w:val="0"/>
              <w:autoSpaceDE/>
              <w:autoSpaceDN/>
              <w:bidi w:val="0"/>
              <w:adjustRightInd w:val="0"/>
              <w:snapToGrid w:val="0"/>
              <w:spacing w:line="440" w:lineRule="exact"/>
              <w:textAlignment w:val="auto"/>
              <w:outlineLvl w:val="0"/>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lang w:val="en-US" w:eastAsia="zh-CN"/>
              </w:rPr>
              <w:t>1、</w:t>
            </w:r>
            <w:r>
              <w:rPr>
                <w:rFonts w:hint="eastAsia" w:ascii="仿宋_GB2312" w:hAnsi="仿宋_GB2312" w:eastAsia="仿宋_GB2312" w:cs="仿宋_GB2312"/>
                <w:b w:val="0"/>
                <w:bCs/>
                <w:color w:val="auto"/>
                <w:sz w:val="28"/>
                <w:szCs w:val="28"/>
              </w:rPr>
              <w:t>废</w:t>
            </w:r>
            <w:r>
              <w:rPr>
                <w:rFonts w:hint="eastAsia" w:ascii="仿宋_GB2312" w:hAnsi="仿宋_GB2312" w:eastAsia="仿宋_GB2312" w:cs="仿宋_GB2312"/>
                <w:b w:val="0"/>
                <w:bCs/>
                <w:color w:val="auto"/>
                <w:sz w:val="28"/>
                <w:szCs w:val="28"/>
                <w:lang w:eastAsia="zh-CN"/>
              </w:rPr>
              <w:t>气</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0" w:rightChars="0" w:firstLine="560" w:firstLineChars="200"/>
              <w:jc w:val="both"/>
              <w:textAlignment w:val="auto"/>
              <w:rPr>
                <w:rFonts w:hint="default" w:ascii="仿宋_GB2312" w:hAnsi="仿宋_GB2312" w:eastAsia="仿宋_GB2312" w:cs="仿宋_GB2312"/>
                <w:b/>
                <w:color w:val="auto"/>
                <w:sz w:val="28"/>
                <w:szCs w:val="28"/>
                <w:vertAlign w:val="baseline"/>
                <w:lang w:val="en-US" w:eastAsia="zh-CN"/>
              </w:rPr>
            </w:pPr>
            <w:r>
              <w:rPr>
                <w:rFonts w:hint="eastAsia" w:ascii="仿宋_GB2312" w:hAnsi="仿宋_GB2312" w:eastAsia="仿宋_GB2312" w:cs="仿宋_GB2312"/>
                <w:b w:val="0"/>
                <w:bCs/>
                <w:color w:val="auto"/>
                <w:sz w:val="28"/>
                <w:szCs w:val="28"/>
                <w:lang w:val="en-US" w:eastAsia="zh-CN"/>
              </w:rPr>
              <w:t>验收监测期间，无组织颗粒物最大排放浓度满足《水泥工业大气污染物排放标准》（GB4915-2013）中的相关标准要求</w:t>
            </w:r>
            <w:r>
              <w:rPr>
                <w:rFonts w:hint="eastAsia" w:ascii="仿宋_GB2312" w:hAnsi="仿宋_GB2312" w:eastAsia="仿宋_GB2312" w:cs="仿宋_GB2312"/>
                <w:color w:val="auto"/>
                <w:kern w:val="0"/>
                <w:sz w:val="28"/>
                <w:szCs w:val="28"/>
                <w:lang w:val="en-US" w:eastAsia="zh-CN" w:bidi="ar"/>
              </w:rPr>
              <w:t>。</w:t>
            </w:r>
          </w:p>
          <w:p>
            <w:pPr>
              <w:keepNext w:val="0"/>
              <w:keepLines w:val="0"/>
              <w:pageBreakBefore w:val="0"/>
              <w:widowControl w:val="0"/>
              <w:kinsoku/>
              <w:wordWrap/>
              <w:overflowPunct/>
              <w:topLinePunct w:val="0"/>
              <w:autoSpaceDE/>
              <w:autoSpaceDN/>
              <w:bidi w:val="0"/>
              <w:adjustRightInd w:val="0"/>
              <w:snapToGrid w:val="0"/>
              <w:spacing w:line="440" w:lineRule="exact"/>
              <w:textAlignment w:val="auto"/>
              <w:outlineLvl w:val="0"/>
              <w:rPr>
                <w:rFonts w:hint="eastAsia" w:ascii="仿宋_GB2312" w:hAnsi="仿宋_GB2312" w:eastAsia="仿宋_GB2312" w:cs="仿宋_GB2312"/>
                <w:b/>
                <w:color w:val="auto"/>
                <w:sz w:val="28"/>
                <w:szCs w:val="28"/>
              </w:rPr>
            </w:pPr>
            <w:r>
              <w:rPr>
                <w:rFonts w:hint="eastAsia" w:ascii="仿宋_GB2312" w:hAnsi="仿宋_GB2312" w:eastAsia="仿宋_GB2312" w:cs="仿宋_GB2312"/>
                <w:b w:val="0"/>
                <w:bCs/>
                <w:color w:val="auto"/>
                <w:sz w:val="28"/>
                <w:szCs w:val="28"/>
                <w:lang w:val="en-US" w:eastAsia="zh-CN"/>
              </w:rPr>
              <w:t>2</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噪声</w:t>
            </w:r>
            <w:r>
              <w:rPr>
                <w:rFonts w:hint="eastAsia" w:ascii="仿宋_GB2312" w:hAnsi="仿宋_GB2312" w:eastAsia="仿宋_GB2312" w:cs="仿宋_GB2312"/>
                <w:b/>
                <w:color w:val="auto"/>
                <w:sz w:val="28"/>
                <w:szCs w:val="28"/>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spacing w:val="-3"/>
                <w:kern w:val="2"/>
                <w:sz w:val="28"/>
                <w:szCs w:val="28"/>
                <w:lang w:val="en-US" w:eastAsia="zh-CN" w:bidi="ar-SA"/>
              </w:rPr>
            </w:pPr>
            <w:r>
              <w:rPr>
                <w:rFonts w:hint="eastAsia" w:ascii="仿宋_GB2312" w:hAnsi="仿宋_GB2312" w:eastAsia="仿宋_GB2312" w:cs="仿宋_GB2312"/>
                <w:b w:val="0"/>
                <w:bCs/>
                <w:color w:val="auto"/>
                <w:sz w:val="28"/>
                <w:szCs w:val="28"/>
                <w:lang w:val="en-US" w:eastAsia="zh-CN"/>
              </w:rPr>
              <w:t>验收监测期间</w:t>
            </w:r>
            <w:r>
              <w:rPr>
                <w:rFonts w:hint="eastAsia" w:ascii="仿宋_GB2312" w:hAnsi="仿宋_GB2312" w:eastAsia="仿宋_GB2312" w:cs="仿宋_GB2312"/>
                <w:color w:val="auto"/>
                <w:spacing w:val="-3"/>
                <w:kern w:val="2"/>
                <w:sz w:val="28"/>
                <w:szCs w:val="28"/>
                <w:lang w:val="en-US" w:eastAsia="zh-CN" w:bidi="ar-SA"/>
              </w:rPr>
              <w:t>，厂界噪声4个监测点昼夜噪声监测值均满足《工业企业厂界环境噪声排放标准》(GB12348-2008)中2类标准要求。</w:t>
            </w:r>
          </w:p>
          <w:p>
            <w:pPr>
              <w:keepNext w:val="0"/>
              <w:keepLines w:val="0"/>
              <w:pageBreakBefore w:val="0"/>
              <w:widowControl w:val="0"/>
              <w:kinsoku/>
              <w:wordWrap/>
              <w:overflowPunct/>
              <w:topLinePunct w:val="0"/>
              <w:autoSpaceDE/>
              <w:autoSpaceDN/>
              <w:bidi w:val="0"/>
              <w:adjustRightInd w:val="0"/>
              <w:snapToGrid w:val="0"/>
              <w:spacing w:line="440" w:lineRule="exact"/>
              <w:textAlignment w:val="auto"/>
              <w:outlineLvl w:val="0"/>
              <w:rPr>
                <w:rFonts w:hint="eastAsia" w:ascii="仿宋_GB2312" w:hAnsi="仿宋_GB2312" w:eastAsia="仿宋_GB2312" w:cs="仿宋_GB2312"/>
                <w:b/>
                <w:color w:val="auto"/>
                <w:sz w:val="28"/>
                <w:szCs w:val="28"/>
                <w:lang w:eastAsia="zh-CN"/>
              </w:rPr>
            </w:pPr>
            <w:r>
              <w:rPr>
                <w:rFonts w:hint="eastAsia" w:ascii="仿宋_GB2312" w:hAnsi="仿宋_GB2312" w:eastAsia="仿宋_GB2312" w:cs="仿宋_GB2312"/>
                <w:b w:val="0"/>
                <w:bCs/>
                <w:color w:val="auto"/>
                <w:sz w:val="28"/>
                <w:szCs w:val="28"/>
                <w:lang w:val="en-US" w:eastAsia="zh-CN"/>
              </w:rPr>
              <w:t>3</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rPr>
              <w:t>固体废物</w:t>
            </w:r>
            <w:r>
              <w:rPr>
                <w:rFonts w:hint="eastAsia" w:ascii="仿宋_GB2312" w:hAnsi="仿宋_GB2312" w:eastAsia="仿宋_GB2312" w:cs="仿宋_GB2312"/>
                <w:b/>
                <w:color w:val="auto"/>
                <w:sz w:val="28"/>
                <w:szCs w:val="28"/>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本项目固体废物包括布袋收集除尘器收集的粉尘、原料包装袋以及生活垃圾。</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color w:val="auto"/>
                <w:spacing w:val="-3"/>
                <w:kern w:val="2"/>
                <w:sz w:val="28"/>
                <w:szCs w:val="28"/>
                <w:lang w:val="en-US" w:eastAsia="zh-CN" w:bidi="ar-SA"/>
              </w:rPr>
            </w:pPr>
            <w:r>
              <w:rPr>
                <w:rFonts w:hint="eastAsia" w:ascii="仿宋_GB2312" w:hAnsi="仿宋_GB2312" w:eastAsia="仿宋_GB2312" w:cs="仿宋_GB2312"/>
                <w:color w:val="auto"/>
                <w:kern w:val="0"/>
                <w:sz w:val="28"/>
                <w:szCs w:val="28"/>
                <w:lang w:val="en-US" w:eastAsia="zh-CN" w:bidi="ar"/>
              </w:rPr>
              <w:t>生产过程中布袋除尘器收集的粉尘，全部回收作为原料再利用；废包装袋经集中收集后交由物资回收部门回用利用。生活垃圾经厂区内统一收集后交由当地环卫部门处理。</w:t>
            </w:r>
          </w:p>
          <w:p>
            <w:pPr>
              <w:keepNext w:val="0"/>
              <w:keepLines w:val="0"/>
              <w:pageBreakBefore w:val="0"/>
              <w:widowControl w:val="0"/>
              <w:kinsoku/>
              <w:wordWrap/>
              <w:overflowPunct/>
              <w:topLinePunct w:val="0"/>
              <w:autoSpaceDE/>
              <w:autoSpaceDN/>
              <w:bidi w:val="0"/>
              <w:adjustRightInd w:val="0"/>
              <w:snapToGrid w:val="0"/>
              <w:spacing w:line="440" w:lineRule="exact"/>
              <w:textAlignment w:val="auto"/>
              <w:outlineLvl w:val="0"/>
              <w:rPr>
                <w:rFonts w:hint="eastAsia" w:ascii="仿宋_GB2312" w:hAnsi="仿宋_GB2312" w:eastAsia="仿宋_GB2312" w:cs="仿宋_GB2312"/>
                <w:b/>
                <w:color w:val="auto"/>
                <w:sz w:val="28"/>
                <w:szCs w:val="28"/>
                <w:lang w:eastAsia="zh-CN"/>
              </w:rPr>
            </w:pPr>
            <w:r>
              <w:rPr>
                <w:rFonts w:hint="eastAsia" w:ascii="仿宋_GB2312" w:hAnsi="仿宋_GB2312" w:eastAsia="仿宋_GB2312" w:cs="仿宋_GB2312"/>
                <w:b/>
                <w:color w:val="auto"/>
                <w:sz w:val="28"/>
                <w:szCs w:val="28"/>
                <w:lang w:eastAsia="zh-CN"/>
              </w:rPr>
              <w:t>建议：</w:t>
            </w:r>
          </w:p>
          <w:p>
            <w:pPr>
              <w:keepNext w:val="0"/>
              <w:keepLines w:val="0"/>
              <w:pageBreakBefore w:val="0"/>
              <w:widowControl w:val="0"/>
              <w:kinsoku/>
              <w:wordWrap/>
              <w:overflowPunct/>
              <w:topLinePunct w:val="0"/>
              <w:autoSpaceDE/>
              <w:autoSpaceDN/>
              <w:bidi w:val="0"/>
              <w:adjustRightInd/>
              <w:snapToGrid/>
              <w:spacing w:line="440" w:lineRule="exact"/>
              <w:ind w:firstLine="548" w:firstLineChars="200"/>
              <w:textAlignment w:val="auto"/>
              <w:outlineLvl w:val="9"/>
              <w:rPr>
                <w:rFonts w:hint="eastAsia" w:ascii="仿宋_GB2312" w:hAnsi="仿宋_GB2312" w:eastAsia="仿宋_GB2312" w:cs="仿宋_GB2312"/>
                <w:color w:val="auto"/>
                <w:spacing w:val="-3"/>
                <w:kern w:val="2"/>
                <w:sz w:val="28"/>
                <w:szCs w:val="28"/>
                <w:lang w:val="en-US" w:eastAsia="zh-CN" w:bidi="ar-SA"/>
              </w:rPr>
            </w:pPr>
            <w:r>
              <w:rPr>
                <w:rFonts w:hint="eastAsia" w:ascii="仿宋_GB2312" w:hAnsi="仿宋_GB2312" w:eastAsia="仿宋_GB2312" w:cs="仿宋_GB2312"/>
                <w:color w:val="auto"/>
                <w:spacing w:val="-3"/>
                <w:kern w:val="2"/>
                <w:sz w:val="28"/>
                <w:szCs w:val="28"/>
                <w:lang w:val="en-US" w:eastAsia="zh-CN" w:bidi="ar-SA"/>
              </w:rPr>
              <w:t>（1）在今后项目建设和管理中应严格遵守环保法律法规，未经审批不得擅自扩大规模，落实《环境影响报告表》及其批复；</w:t>
            </w:r>
          </w:p>
          <w:p>
            <w:pPr>
              <w:keepNext w:val="0"/>
              <w:keepLines w:val="0"/>
              <w:pageBreakBefore w:val="0"/>
              <w:widowControl w:val="0"/>
              <w:kinsoku/>
              <w:wordWrap/>
              <w:overflowPunct/>
              <w:topLinePunct w:val="0"/>
              <w:autoSpaceDE/>
              <w:autoSpaceDN/>
              <w:bidi w:val="0"/>
              <w:adjustRightInd/>
              <w:snapToGrid/>
              <w:spacing w:line="440" w:lineRule="exact"/>
              <w:ind w:firstLine="548" w:firstLineChars="200"/>
              <w:textAlignment w:val="auto"/>
              <w:outlineLvl w:val="9"/>
              <w:rPr>
                <w:rFonts w:hint="eastAsia" w:ascii="仿宋_GB2312" w:hAnsi="仿宋_GB2312" w:eastAsia="仿宋_GB2312" w:cs="仿宋_GB2312"/>
                <w:color w:val="auto"/>
                <w:spacing w:val="-3"/>
                <w:kern w:val="2"/>
                <w:sz w:val="28"/>
                <w:szCs w:val="28"/>
                <w:lang w:val="en-US" w:eastAsia="zh-CN" w:bidi="ar-SA"/>
              </w:rPr>
            </w:pPr>
            <w:r>
              <w:rPr>
                <w:rFonts w:hint="eastAsia" w:ascii="仿宋_GB2312" w:hAnsi="仿宋_GB2312" w:eastAsia="仿宋_GB2312" w:cs="仿宋_GB2312"/>
                <w:color w:val="auto"/>
                <w:spacing w:val="-3"/>
                <w:kern w:val="2"/>
                <w:sz w:val="28"/>
                <w:szCs w:val="28"/>
                <w:lang w:val="en-US" w:eastAsia="zh-CN" w:bidi="ar-SA"/>
              </w:rPr>
              <w:t>（2）建议加强环境保护工作，完善环保职能机构，严格环境监督管理；</w:t>
            </w:r>
          </w:p>
          <w:p>
            <w:pPr>
              <w:keepNext w:val="0"/>
              <w:keepLines w:val="0"/>
              <w:pageBreakBefore w:val="0"/>
              <w:widowControl w:val="0"/>
              <w:kinsoku/>
              <w:wordWrap/>
              <w:overflowPunct/>
              <w:topLinePunct w:val="0"/>
              <w:autoSpaceDE/>
              <w:autoSpaceDN/>
              <w:bidi w:val="0"/>
              <w:adjustRightInd/>
              <w:snapToGrid/>
              <w:spacing w:line="440" w:lineRule="exact"/>
              <w:ind w:firstLine="548" w:firstLineChars="200"/>
              <w:textAlignment w:val="auto"/>
              <w:outlineLvl w:val="9"/>
              <w:rPr>
                <w:rFonts w:hint="eastAsia" w:ascii="仿宋_GB2312" w:hAnsi="仿宋_GB2312" w:eastAsia="仿宋_GB2312" w:cs="仿宋_GB2312"/>
                <w:color w:val="auto"/>
                <w:spacing w:val="-3"/>
                <w:kern w:val="2"/>
                <w:sz w:val="28"/>
                <w:szCs w:val="28"/>
                <w:lang w:val="en-US" w:eastAsia="zh-CN" w:bidi="ar-SA"/>
              </w:rPr>
            </w:pPr>
            <w:r>
              <w:rPr>
                <w:rFonts w:hint="eastAsia" w:ascii="仿宋_GB2312" w:hAnsi="仿宋_GB2312" w:eastAsia="仿宋_GB2312" w:cs="仿宋_GB2312"/>
                <w:color w:val="auto"/>
                <w:spacing w:val="-3"/>
                <w:kern w:val="2"/>
                <w:sz w:val="28"/>
                <w:szCs w:val="28"/>
                <w:lang w:val="en-US" w:eastAsia="zh-CN" w:bidi="ar-SA"/>
              </w:rPr>
              <w:t>（3）进一步加强固体废物安全处置工作，确保环境安全；</w:t>
            </w:r>
          </w:p>
          <w:p>
            <w:pPr>
              <w:keepNext w:val="0"/>
              <w:keepLines w:val="0"/>
              <w:pageBreakBefore w:val="0"/>
              <w:widowControl w:val="0"/>
              <w:kinsoku/>
              <w:wordWrap/>
              <w:overflowPunct/>
              <w:topLinePunct w:val="0"/>
              <w:autoSpaceDE/>
              <w:autoSpaceDN/>
              <w:bidi w:val="0"/>
              <w:adjustRightInd/>
              <w:snapToGrid/>
              <w:spacing w:line="440" w:lineRule="exact"/>
              <w:ind w:firstLine="548" w:firstLineChars="200"/>
              <w:textAlignment w:val="auto"/>
              <w:outlineLvl w:val="9"/>
              <w:rPr>
                <w:rFonts w:hint="eastAsia" w:ascii="仿宋_GB2312" w:hAnsi="仿宋_GB2312" w:eastAsia="仿宋_GB2312" w:cs="仿宋_GB2312"/>
                <w:color w:val="auto"/>
                <w:spacing w:val="-3"/>
                <w:kern w:val="2"/>
                <w:sz w:val="28"/>
                <w:szCs w:val="28"/>
                <w:lang w:val="en-US" w:eastAsia="zh-CN" w:bidi="ar-SA"/>
              </w:rPr>
            </w:pPr>
            <w:r>
              <w:rPr>
                <w:rFonts w:hint="eastAsia" w:ascii="仿宋_GB2312" w:hAnsi="仿宋_GB2312" w:eastAsia="仿宋_GB2312" w:cs="仿宋_GB2312"/>
                <w:color w:val="auto"/>
                <w:spacing w:val="-3"/>
                <w:kern w:val="2"/>
                <w:sz w:val="28"/>
                <w:szCs w:val="28"/>
                <w:lang w:val="en-US" w:eastAsia="zh-CN" w:bidi="ar-SA"/>
              </w:rPr>
              <w:t>（4）企业应该加强厂房内环境管理，加强废气处理设施的运行维护，保证厂区干净整洁。</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jc w:val="both"/>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要求</w:t>
            </w:r>
            <w:r>
              <w:rPr>
                <w:rFonts w:hint="eastAsia" w:ascii="仿宋_GB2312" w:hAnsi="仿宋_GB2312" w:eastAsia="仿宋_GB2312" w:cs="仿宋_GB2312"/>
                <w:b/>
                <w:bCs/>
                <w:color w:val="auto"/>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560" w:firstLineChars="200"/>
              <w:jc w:val="both"/>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rPr>
              <w:t>验收报告编制完成后5个工作日内，公开验收报告，公示的期限不得少于20个工作日。建设单位公开上述信息的同时接受监督检查</w:t>
            </w:r>
            <w:r>
              <w:rPr>
                <w:rFonts w:hint="eastAsia" w:ascii="仿宋_GB2312" w:hAnsi="仿宋_GB2312" w:eastAsia="仿宋_GB2312" w:cs="仿宋_GB2312"/>
                <w:color w:val="auto"/>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2、验收报告公示期满后5个工作日内，建设单位应当登录全国建设项目竣工环境保护验收信息平台，填报建设项目基本信息、环境保护设施验收情况等相关信息；</w:t>
            </w:r>
          </w:p>
          <w:p>
            <w:pPr>
              <w:keepNext w:val="0"/>
              <w:keepLines w:val="0"/>
              <w:pageBreakBefore w:val="0"/>
              <w:widowControl w:val="0"/>
              <w:numPr>
                <w:ilvl w:val="0"/>
                <w:numId w:val="0"/>
              </w:numPr>
              <w:kinsoku/>
              <w:wordWrap/>
              <w:overflowPunct/>
              <w:topLinePunct w:val="0"/>
              <w:autoSpaceDE/>
              <w:autoSpaceDN/>
              <w:bidi w:val="0"/>
              <w:spacing w:line="440" w:lineRule="exact"/>
              <w:ind w:firstLine="560" w:firstLineChars="200"/>
              <w:textAlignment w:val="auto"/>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val="0"/>
                <w:bCs/>
                <w:color w:val="auto"/>
                <w:sz w:val="28"/>
                <w:szCs w:val="28"/>
                <w:lang w:val="en-US" w:eastAsia="zh-CN"/>
              </w:rPr>
              <w:t>3、建设单位应当将验收报告以及其他档案资料存档备查。</w:t>
            </w:r>
          </w:p>
        </w:tc>
      </w:tr>
    </w:tbl>
    <w:p>
      <w:pPr>
        <w:rPr>
          <w:rFonts w:hint="eastAsia" w:ascii="仿宋_GB2312" w:hAnsi="仿宋_GB2312" w:eastAsia="仿宋_GB2312" w:cs="仿宋_GB2312"/>
          <w:b/>
          <w:bCs/>
          <w:color w:val="auto"/>
          <w:sz w:val="28"/>
          <w:szCs w:val="28"/>
          <w:lang w:eastAsia="zh-CN"/>
        </w:rPr>
        <w:sectPr>
          <w:pgSz w:w="11906" w:h="16838"/>
          <w:pgMar w:top="1440" w:right="1800" w:bottom="1440" w:left="1800" w:header="851" w:footer="567" w:gutter="0"/>
          <w:pgBorders>
            <w:top w:val="none" w:sz="0" w:space="0"/>
            <w:left w:val="none" w:sz="0" w:space="0"/>
            <w:bottom w:val="none" w:sz="0" w:space="0"/>
            <w:right w:val="none" w:sz="0" w:space="0"/>
          </w:pgBorders>
          <w:pgNumType w:fmt="numberInDash"/>
          <w:cols w:space="720" w:num="1"/>
          <w:rtlGutter w:val="0"/>
          <w:docGrid w:type="lines" w:linePitch="312" w:charSpace="0"/>
        </w:sectPr>
      </w:pPr>
    </w:p>
    <w:p>
      <w:pPr>
        <w:pStyle w:val="4"/>
        <w:keepNext/>
        <w:keepLines/>
        <w:pageBreakBefore w:val="0"/>
        <w:widowControl w:val="0"/>
        <w:kinsoku/>
        <w:wordWrap/>
        <w:overflowPunct/>
        <w:topLinePunct w:val="0"/>
        <w:autoSpaceDE/>
        <w:autoSpaceDN/>
        <w:bidi w:val="0"/>
        <w:adjustRightInd/>
        <w:snapToGrid w:val="0"/>
        <w:spacing w:before="0" w:after="0" w:line="240" w:lineRule="auto"/>
        <w:jc w:val="center"/>
        <w:textAlignment w:val="baseline"/>
        <w:rPr>
          <w:rFonts w:hint="eastAsia"/>
          <w:color w:val="auto"/>
          <w:lang w:eastAsia="zh-CN"/>
        </w:rPr>
      </w:pPr>
      <w:r>
        <w:rPr>
          <w:rFonts w:hint="eastAsia"/>
          <w:color w:val="auto"/>
          <w:lang w:eastAsia="zh-CN"/>
        </w:rPr>
        <w:t>建设项目环境保护“三同时”竣工验收登记表</w:t>
      </w:r>
    </w:p>
    <w:p>
      <w:pPr>
        <w:rPr>
          <w:rFonts w:ascii="宋体" w:hAnsi="宋体"/>
          <w:color w:val="auto"/>
          <w:sz w:val="18"/>
          <w:szCs w:val="18"/>
        </w:rPr>
      </w:pPr>
      <w:r>
        <w:rPr>
          <w:rFonts w:hint="eastAsia" w:ascii="宋体" w:hAnsi="宋体"/>
          <w:color w:val="auto"/>
          <w:sz w:val="18"/>
          <w:szCs w:val="18"/>
        </w:rPr>
        <w:t>填表单位（盖章）：</w:t>
      </w:r>
      <w:r>
        <w:rPr>
          <w:rFonts w:ascii="宋体" w:hAnsi="宋体"/>
          <w:color w:val="auto"/>
          <w:sz w:val="18"/>
          <w:szCs w:val="18"/>
        </w:rPr>
        <w:t xml:space="preserve">                                               </w:t>
      </w:r>
      <w:r>
        <w:rPr>
          <w:rFonts w:hint="eastAsia" w:ascii="宋体" w:hAnsi="宋体"/>
          <w:color w:val="auto"/>
          <w:sz w:val="18"/>
          <w:szCs w:val="18"/>
        </w:rPr>
        <w:t xml:space="preserve">填表人（签字）：    </w:t>
      </w:r>
      <w:r>
        <w:rPr>
          <w:rFonts w:ascii="宋体" w:hAnsi="宋体"/>
          <w:color w:val="auto"/>
          <w:sz w:val="18"/>
          <w:szCs w:val="18"/>
        </w:rPr>
        <w:t xml:space="preserve">                                  </w:t>
      </w:r>
      <w:r>
        <w:rPr>
          <w:rFonts w:hint="eastAsia" w:ascii="宋体" w:hAnsi="宋体"/>
          <w:color w:val="auto"/>
          <w:sz w:val="18"/>
          <w:szCs w:val="18"/>
        </w:rPr>
        <w:t>项目经办人（签字）：</w:t>
      </w:r>
      <w:r>
        <w:rPr>
          <w:rFonts w:ascii="宋体" w:hAnsi="宋体"/>
          <w:color w:val="auto"/>
          <w:sz w:val="18"/>
          <w:szCs w:val="18"/>
        </w:rPr>
        <w:t xml:space="preserve">       </w:t>
      </w:r>
    </w:p>
    <w:tbl>
      <w:tblPr>
        <w:tblStyle w:val="16"/>
        <w:tblpPr w:leftFromText="180" w:rightFromText="180" w:vertAnchor="text" w:horzAnchor="page" w:tblpXSpec="center" w:tblpY="106"/>
        <w:tblOverlap w:val="never"/>
        <w:tblW w:w="158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7"/>
        <w:gridCol w:w="169"/>
        <w:gridCol w:w="957"/>
        <w:gridCol w:w="948"/>
        <w:gridCol w:w="800"/>
        <w:gridCol w:w="1150"/>
        <w:gridCol w:w="132"/>
        <w:gridCol w:w="989"/>
        <w:gridCol w:w="1071"/>
        <w:gridCol w:w="444"/>
        <w:gridCol w:w="700"/>
        <w:gridCol w:w="1128"/>
        <w:gridCol w:w="542"/>
        <w:gridCol w:w="600"/>
        <w:gridCol w:w="1455"/>
        <w:gridCol w:w="1040"/>
        <w:gridCol w:w="137"/>
        <w:gridCol w:w="692"/>
        <w:gridCol w:w="549"/>
        <w:gridCol w:w="118"/>
        <w:gridCol w:w="981"/>
        <w:gridCol w:w="7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427" w:type="dxa"/>
            <w:vMerge w:val="restart"/>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建</w:t>
            </w:r>
          </w:p>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设</w:t>
            </w:r>
          </w:p>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项</w:t>
            </w:r>
          </w:p>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b/>
                <w:bCs/>
                <w:color w:val="auto"/>
                <w:sz w:val="18"/>
                <w:szCs w:val="18"/>
              </w:rPr>
              <w:t>目</w:t>
            </w:r>
          </w:p>
        </w:tc>
        <w:tc>
          <w:tcPr>
            <w:tcW w:w="2074" w:type="dxa"/>
            <w:gridSpan w:val="3"/>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项目名称</w:t>
            </w:r>
          </w:p>
        </w:tc>
        <w:tc>
          <w:tcPr>
            <w:tcW w:w="5286" w:type="dxa"/>
            <w:gridSpan w:val="7"/>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eastAsia="zh-CN"/>
              </w:rPr>
              <w:t>明光市沪光建筑材料有限公司</w:t>
            </w:r>
          </w:p>
        </w:tc>
        <w:tc>
          <w:tcPr>
            <w:tcW w:w="2270" w:type="dxa"/>
            <w:gridSpan w:val="3"/>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项目代码</w:t>
            </w:r>
          </w:p>
        </w:tc>
        <w:tc>
          <w:tcPr>
            <w:tcW w:w="1455" w:type="dxa"/>
            <w:noWrap w:val="0"/>
            <w:vAlign w:val="center"/>
          </w:tcPr>
          <w:p>
            <w:pPr>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1869" w:type="dxa"/>
            <w:gridSpan w:val="3"/>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b/>
                <w:bCs/>
                <w:color w:val="auto"/>
                <w:sz w:val="18"/>
                <w:szCs w:val="18"/>
              </w:rPr>
              <w:t>建设地点</w:t>
            </w:r>
          </w:p>
        </w:tc>
        <w:tc>
          <w:tcPr>
            <w:tcW w:w="2437" w:type="dxa"/>
            <w:gridSpan w:val="4"/>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明光市管店镇罗岭工业集中区 104 国道东侧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427" w:type="dxa"/>
            <w:vMerge w:val="continue"/>
            <w:tcBorders>
              <w:top w:val="nil"/>
            </w:tcBorders>
            <w:noWrap w:val="0"/>
            <w:textDirection w:val="tbRl"/>
            <w:vAlign w:val="center"/>
          </w:tcPr>
          <w:p>
            <w:pPr>
              <w:jc w:val="center"/>
              <w:rPr>
                <w:rFonts w:hint="eastAsia" w:ascii="仿宋_GB2312" w:hAnsi="仿宋_GB2312" w:eastAsia="仿宋_GB2312" w:cs="仿宋_GB2312"/>
                <w:color w:val="auto"/>
                <w:sz w:val="18"/>
                <w:szCs w:val="18"/>
              </w:rPr>
            </w:pPr>
          </w:p>
        </w:tc>
        <w:tc>
          <w:tcPr>
            <w:tcW w:w="2074" w:type="dxa"/>
            <w:gridSpan w:val="3"/>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行业类别</w:t>
            </w:r>
          </w:p>
        </w:tc>
        <w:tc>
          <w:tcPr>
            <w:tcW w:w="5286" w:type="dxa"/>
            <w:gridSpan w:val="7"/>
            <w:noWrap w:val="0"/>
            <w:vAlign w:val="center"/>
          </w:tcPr>
          <w:p>
            <w:pPr>
              <w:jc w:val="center"/>
              <w:rPr>
                <w:rFonts w:hint="default" w:ascii="仿宋_GB2312" w:hAnsi="仿宋_GB2312" w:eastAsia="仿宋_GB2312" w:cs="仿宋_GB2312"/>
                <w:color w:val="auto"/>
                <w:sz w:val="18"/>
                <w:szCs w:val="18"/>
                <w:lang w:val="en-US"/>
              </w:rPr>
            </w:pPr>
            <w:r>
              <w:rPr>
                <w:rFonts w:hint="default" w:ascii="仿宋_GB2312" w:hAnsi="仿宋_GB2312" w:eastAsia="仿宋_GB2312" w:cs="仿宋_GB2312"/>
                <w:color w:val="auto"/>
                <w:sz w:val="18"/>
                <w:szCs w:val="18"/>
                <w:lang w:val="en-US" w:eastAsia="zh-CN"/>
              </w:rPr>
              <w:t>C3029 其他水泥类似制品制造</w:t>
            </w:r>
          </w:p>
        </w:tc>
        <w:tc>
          <w:tcPr>
            <w:tcW w:w="2270" w:type="dxa"/>
            <w:gridSpan w:val="3"/>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建设性质</w:t>
            </w:r>
          </w:p>
        </w:tc>
        <w:tc>
          <w:tcPr>
            <w:tcW w:w="2495" w:type="dxa"/>
            <w:gridSpan w:val="2"/>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b/>
                <w:bCs/>
                <w:color w:val="auto"/>
                <w:sz w:val="18"/>
                <w:szCs w:val="18"/>
              </w:rPr>
              <w:sym w:font="Wingdings 2" w:char="0052"/>
            </w:r>
            <w:r>
              <w:rPr>
                <w:rFonts w:hint="eastAsia" w:ascii="仿宋_GB2312" w:hAnsi="仿宋_GB2312" w:eastAsia="仿宋_GB2312" w:cs="仿宋_GB2312"/>
                <w:b/>
                <w:bCs/>
                <w:color w:val="auto"/>
                <w:sz w:val="18"/>
                <w:szCs w:val="18"/>
              </w:rPr>
              <w:t xml:space="preserve">新建 </w:t>
            </w:r>
            <w:r>
              <w:rPr>
                <w:rFonts w:hint="eastAsia" w:ascii="仿宋_GB2312" w:hAnsi="仿宋_GB2312" w:eastAsia="仿宋_GB2312" w:cs="仿宋_GB2312"/>
                <w:b/>
                <w:bCs/>
                <w:color w:val="auto"/>
                <w:sz w:val="18"/>
                <w:szCs w:val="18"/>
              </w:rPr>
              <w:sym w:font="Wingdings 2" w:char="00A3"/>
            </w:r>
            <w:r>
              <w:rPr>
                <w:rFonts w:hint="eastAsia" w:ascii="仿宋_GB2312" w:hAnsi="仿宋_GB2312" w:eastAsia="仿宋_GB2312" w:cs="仿宋_GB2312"/>
                <w:b/>
                <w:bCs/>
                <w:color w:val="auto"/>
                <w:sz w:val="18"/>
                <w:szCs w:val="18"/>
              </w:rPr>
              <w:t xml:space="preserve"> 改扩建 </w:t>
            </w:r>
            <w:r>
              <w:rPr>
                <w:rFonts w:hint="eastAsia" w:ascii="仿宋_GB2312" w:hAnsi="仿宋_GB2312" w:eastAsia="仿宋_GB2312" w:cs="仿宋_GB2312"/>
                <w:b/>
                <w:bCs/>
                <w:color w:val="auto"/>
                <w:sz w:val="18"/>
                <w:szCs w:val="18"/>
              </w:rPr>
              <w:sym w:font="Wingdings 2" w:char="00A3"/>
            </w:r>
            <w:r>
              <w:rPr>
                <w:rFonts w:hint="eastAsia" w:ascii="仿宋_GB2312" w:hAnsi="仿宋_GB2312" w:eastAsia="仿宋_GB2312" w:cs="仿宋_GB2312"/>
                <w:b/>
                <w:bCs/>
                <w:color w:val="auto"/>
                <w:sz w:val="18"/>
                <w:szCs w:val="18"/>
              </w:rPr>
              <w:t>技术改造</w:t>
            </w:r>
          </w:p>
        </w:tc>
        <w:tc>
          <w:tcPr>
            <w:tcW w:w="829" w:type="dxa"/>
            <w:gridSpan w:val="2"/>
            <w:noWrap w:val="0"/>
            <w:vAlign w:val="center"/>
          </w:tcPr>
          <w:p>
            <w:pPr>
              <w:jc w:val="center"/>
              <w:rPr>
                <w:rFonts w:hint="eastAsia" w:ascii="仿宋_GB2312" w:hAnsi="仿宋_GB2312" w:eastAsia="仿宋_GB2312" w:cs="仿宋_GB2312"/>
                <w:b/>
                <w:bCs/>
                <w:color w:val="auto"/>
                <w:sz w:val="18"/>
                <w:szCs w:val="18"/>
                <w:lang w:eastAsia="zh-CN"/>
              </w:rPr>
            </w:pPr>
            <w:r>
              <w:rPr>
                <w:rFonts w:hint="eastAsia" w:ascii="仿宋_GB2312" w:hAnsi="仿宋_GB2312" w:eastAsia="仿宋_GB2312" w:cs="仿宋_GB2312"/>
                <w:b/>
                <w:bCs/>
                <w:color w:val="auto"/>
                <w:sz w:val="18"/>
                <w:szCs w:val="18"/>
                <w:lang w:eastAsia="zh-CN"/>
              </w:rPr>
              <w:t>经纬度</w:t>
            </w:r>
          </w:p>
        </w:tc>
        <w:tc>
          <w:tcPr>
            <w:tcW w:w="2437" w:type="dxa"/>
            <w:gridSpan w:val="4"/>
            <w:noWrap w:val="0"/>
            <w:vAlign w:val="center"/>
          </w:tcPr>
          <w:p>
            <w:pPr>
              <w:jc w:val="center"/>
              <w:rPr>
                <w:rFonts w:hint="eastAsia" w:ascii="仿宋_GB2312" w:hAnsi="仿宋_GB2312" w:eastAsia="仿宋_GB2312" w:cs="仿宋_GB2312"/>
                <w:b/>
                <w:bCs/>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427" w:type="dxa"/>
            <w:vMerge w:val="continue"/>
            <w:tcBorders>
              <w:top w:val="nil"/>
            </w:tcBorders>
            <w:noWrap w:val="0"/>
            <w:textDirection w:val="tbRl"/>
            <w:vAlign w:val="center"/>
          </w:tcPr>
          <w:p>
            <w:pPr>
              <w:jc w:val="center"/>
              <w:rPr>
                <w:rFonts w:hint="eastAsia" w:ascii="仿宋_GB2312" w:hAnsi="仿宋_GB2312" w:eastAsia="仿宋_GB2312" w:cs="仿宋_GB2312"/>
                <w:color w:val="auto"/>
                <w:sz w:val="18"/>
                <w:szCs w:val="18"/>
              </w:rPr>
            </w:pPr>
          </w:p>
        </w:tc>
        <w:tc>
          <w:tcPr>
            <w:tcW w:w="2074" w:type="dxa"/>
            <w:gridSpan w:val="3"/>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设计生产能力</w:t>
            </w:r>
          </w:p>
        </w:tc>
        <w:tc>
          <w:tcPr>
            <w:tcW w:w="4142" w:type="dxa"/>
            <w:gridSpan w:val="5"/>
            <w:noWrap w:val="0"/>
            <w:vAlign w:val="center"/>
          </w:tcPr>
          <w:p>
            <w:pPr>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年产 30 万立方预拌砂浆、商品混凝土、15 万立方 PC 预制构件</w:t>
            </w:r>
          </w:p>
        </w:tc>
        <w:tc>
          <w:tcPr>
            <w:tcW w:w="1144" w:type="dxa"/>
            <w:gridSpan w:val="2"/>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实际生产能力</w:t>
            </w:r>
          </w:p>
        </w:tc>
        <w:tc>
          <w:tcPr>
            <w:tcW w:w="3725" w:type="dxa"/>
            <w:gridSpan w:val="4"/>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年产 30 万立方预拌砂浆、商品混凝土、15 万立方 PC 预制构件</w:t>
            </w:r>
          </w:p>
        </w:tc>
        <w:tc>
          <w:tcPr>
            <w:tcW w:w="1869" w:type="dxa"/>
            <w:gridSpan w:val="3"/>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环评单位</w:t>
            </w:r>
          </w:p>
        </w:tc>
        <w:tc>
          <w:tcPr>
            <w:tcW w:w="2437" w:type="dxa"/>
            <w:gridSpan w:val="4"/>
            <w:noWrap w:val="0"/>
            <w:vAlign w:val="center"/>
          </w:tcPr>
          <w:p>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val="en-US" w:eastAsia="zh-CN"/>
              </w:rPr>
              <w:t>亳州市中环环境科技有限责任公司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427" w:type="dxa"/>
            <w:vMerge w:val="continue"/>
            <w:tcBorders>
              <w:top w:val="nil"/>
            </w:tcBorders>
            <w:noWrap w:val="0"/>
            <w:textDirection w:val="tbRl"/>
            <w:vAlign w:val="center"/>
          </w:tcPr>
          <w:p>
            <w:pPr>
              <w:jc w:val="center"/>
              <w:rPr>
                <w:rFonts w:hint="eastAsia" w:ascii="仿宋_GB2312" w:hAnsi="仿宋_GB2312" w:eastAsia="仿宋_GB2312" w:cs="仿宋_GB2312"/>
                <w:color w:val="auto"/>
                <w:sz w:val="18"/>
                <w:szCs w:val="18"/>
              </w:rPr>
            </w:pPr>
          </w:p>
        </w:tc>
        <w:tc>
          <w:tcPr>
            <w:tcW w:w="2074" w:type="dxa"/>
            <w:gridSpan w:val="3"/>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环评文件审批机关</w:t>
            </w:r>
          </w:p>
        </w:tc>
        <w:tc>
          <w:tcPr>
            <w:tcW w:w="5286" w:type="dxa"/>
            <w:gridSpan w:val="7"/>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明光市生态环境分局</w:t>
            </w:r>
          </w:p>
        </w:tc>
        <w:tc>
          <w:tcPr>
            <w:tcW w:w="1670" w:type="dxa"/>
            <w:gridSpan w:val="2"/>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审批文号</w:t>
            </w:r>
          </w:p>
        </w:tc>
        <w:tc>
          <w:tcPr>
            <w:tcW w:w="2055" w:type="dxa"/>
            <w:gridSpan w:val="2"/>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明环评〔2018〕8号</w:t>
            </w:r>
          </w:p>
        </w:tc>
        <w:tc>
          <w:tcPr>
            <w:tcW w:w="1869" w:type="dxa"/>
            <w:gridSpan w:val="3"/>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环评文件类型</w:t>
            </w:r>
          </w:p>
        </w:tc>
        <w:tc>
          <w:tcPr>
            <w:tcW w:w="2437" w:type="dxa"/>
            <w:gridSpan w:val="4"/>
            <w:noWrap w:val="0"/>
            <w:vAlign w:val="center"/>
          </w:tcPr>
          <w:p>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报告表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427" w:type="dxa"/>
            <w:vMerge w:val="continue"/>
            <w:tcBorders>
              <w:top w:val="nil"/>
            </w:tcBorders>
            <w:noWrap w:val="0"/>
            <w:textDirection w:val="tbRl"/>
            <w:vAlign w:val="center"/>
          </w:tcPr>
          <w:p>
            <w:pPr>
              <w:jc w:val="center"/>
              <w:rPr>
                <w:rFonts w:hint="eastAsia" w:ascii="仿宋_GB2312" w:hAnsi="仿宋_GB2312" w:eastAsia="仿宋_GB2312" w:cs="仿宋_GB2312"/>
                <w:color w:val="auto"/>
                <w:sz w:val="18"/>
                <w:szCs w:val="18"/>
              </w:rPr>
            </w:pPr>
          </w:p>
        </w:tc>
        <w:tc>
          <w:tcPr>
            <w:tcW w:w="2074" w:type="dxa"/>
            <w:gridSpan w:val="3"/>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开工日期</w:t>
            </w:r>
          </w:p>
        </w:tc>
        <w:tc>
          <w:tcPr>
            <w:tcW w:w="5286" w:type="dxa"/>
            <w:gridSpan w:val="7"/>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2018年3月</w:t>
            </w:r>
          </w:p>
        </w:tc>
        <w:tc>
          <w:tcPr>
            <w:tcW w:w="2270" w:type="dxa"/>
            <w:gridSpan w:val="3"/>
            <w:noWrap w:val="0"/>
            <w:vAlign w:val="center"/>
          </w:tcPr>
          <w:p>
            <w:pPr>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b/>
                <w:bCs/>
                <w:color w:val="auto"/>
                <w:sz w:val="18"/>
                <w:szCs w:val="18"/>
                <w:lang w:val="en-US" w:eastAsia="zh-CN"/>
              </w:rPr>
              <w:t>竣工日期</w:t>
            </w:r>
          </w:p>
        </w:tc>
        <w:tc>
          <w:tcPr>
            <w:tcW w:w="1455" w:type="dxa"/>
            <w:noWrap w:val="0"/>
            <w:vAlign w:val="center"/>
          </w:tcPr>
          <w:p>
            <w:pPr>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2020年8月</w:t>
            </w:r>
          </w:p>
        </w:tc>
        <w:tc>
          <w:tcPr>
            <w:tcW w:w="1869" w:type="dxa"/>
            <w:gridSpan w:val="3"/>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排污许可证申领时间</w:t>
            </w:r>
          </w:p>
        </w:tc>
        <w:tc>
          <w:tcPr>
            <w:tcW w:w="2437" w:type="dxa"/>
            <w:gridSpan w:val="4"/>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27" w:type="dxa"/>
            <w:vMerge w:val="continue"/>
            <w:tcBorders>
              <w:top w:val="nil"/>
            </w:tcBorders>
            <w:noWrap w:val="0"/>
            <w:textDirection w:val="tbRl"/>
            <w:vAlign w:val="center"/>
          </w:tcPr>
          <w:p>
            <w:pPr>
              <w:jc w:val="center"/>
              <w:rPr>
                <w:rFonts w:hint="eastAsia" w:ascii="仿宋_GB2312" w:hAnsi="仿宋_GB2312" w:eastAsia="仿宋_GB2312" w:cs="仿宋_GB2312"/>
                <w:color w:val="auto"/>
                <w:sz w:val="18"/>
                <w:szCs w:val="18"/>
              </w:rPr>
            </w:pPr>
          </w:p>
        </w:tc>
        <w:tc>
          <w:tcPr>
            <w:tcW w:w="2074" w:type="dxa"/>
            <w:gridSpan w:val="3"/>
            <w:noWrap w:val="0"/>
            <w:vAlign w:val="center"/>
          </w:tcPr>
          <w:p>
            <w:pPr>
              <w:jc w:val="center"/>
              <w:rPr>
                <w:rFonts w:hint="eastAsia" w:ascii="仿宋_GB2312" w:hAnsi="仿宋_GB2312" w:eastAsia="仿宋_GB2312" w:cs="仿宋_GB2312"/>
                <w:b/>
                <w:bCs/>
                <w:color w:val="auto"/>
                <w:sz w:val="18"/>
                <w:szCs w:val="18"/>
                <w:highlight w:val="none"/>
              </w:rPr>
            </w:pPr>
            <w:r>
              <w:rPr>
                <w:rFonts w:hint="eastAsia" w:ascii="仿宋_GB2312" w:hAnsi="仿宋_GB2312" w:eastAsia="仿宋_GB2312" w:cs="仿宋_GB2312"/>
                <w:b/>
                <w:bCs/>
                <w:color w:val="auto"/>
                <w:sz w:val="18"/>
                <w:szCs w:val="18"/>
                <w:highlight w:val="none"/>
              </w:rPr>
              <w:t>环保设施设计单位</w:t>
            </w:r>
          </w:p>
        </w:tc>
        <w:tc>
          <w:tcPr>
            <w:tcW w:w="5286" w:type="dxa"/>
            <w:gridSpan w:val="7"/>
            <w:noWrap w:val="0"/>
            <w:vAlign w:val="center"/>
          </w:tcPr>
          <w:p>
            <w:pPr>
              <w:jc w:val="center"/>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lang w:val="en-US" w:eastAsia="zh-CN"/>
              </w:rPr>
              <w:t>/</w:t>
            </w:r>
          </w:p>
        </w:tc>
        <w:tc>
          <w:tcPr>
            <w:tcW w:w="2270" w:type="dxa"/>
            <w:gridSpan w:val="3"/>
            <w:noWrap w:val="0"/>
            <w:vAlign w:val="center"/>
          </w:tcPr>
          <w:p>
            <w:pPr>
              <w:jc w:val="center"/>
              <w:rPr>
                <w:rFonts w:hint="eastAsia" w:ascii="仿宋_GB2312" w:hAnsi="仿宋_GB2312" w:eastAsia="仿宋_GB2312" w:cs="仿宋_GB2312"/>
                <w:b/>
                <w:bCs/>
                <w:color w:val="auto"/>
                <w:sz w:val="18"/>
                <w:szCs w:val="18"/>
                <w:highlight w:val="none"/>
              </w:rPr>
            </w:pPr>
            <w:r>
              <w:rPr>
                <w:rFonts w:hint="eastAsia" w:ascii="仿宋_GB2312" w:hAnsi="仿宋_GB2312" w:eastAsia="仿宋_GB2312" w:cs="仿宋_GB2312"/>
                <w:b/>
                <w:bCs/>
                <w:color w:val="auto"/>
                <w:sz w:val="18"/>
                <w:szCs w:val="18"/>
                <w:highlight w:val="none"/>
              </w:rPr>
              <w:t>环保设施施工单位</w:t>
            </w:r>
          </w:p>
        </w:tc>
        <w:tc>
          <w:tcPr>
            <w:tcW w:w="1455" w:type="dxa"/>
            <w:noWrap w:val="0"/>
            <w:vAlign w:val="center"/>
          </w:tcPr>
          <w:p>
            <w:pPr>
              <w:jc w:val="center"/>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lang w:val="en-US" w:eastAsia="zh-CN"/>
              </w:rPr>
              <w:t>/</w:t>
            </w:r>
          </w:p>
        </w:tc>
        <w:tc>
          <w:tcPr>
            <w:tcW w:w="1869" w:type="dxa"/>
            <w:gridSpan w:val="3"/>
            <w:noWrap w:val="0"/>
            <w:vAlign w:val="center"/>
          </w:tcPr>
          <w:p>
            <w:pPr>
              <w:jc w:val="center"/>
              <w:rPr>
                <w:rFonts w:hint="eastAsia" w:ascii="仿宋_GB2312" w:hAnsi="仿宋_GB2312" w:eastAsia="仿宋_GB2312" w:cs="仿宋_GB2312"/>
                <w:b/>
                <w:bCs/>
                <w:color w:val="auto"/>
                <w:sz w:val="18"/>
                <w:szCs w:val="18"/>
                <w:highlight w:val="none"/>
              </w:rPr>
            </w:pPr>
            <w:r>
              <w:rPr>
                <w:rFonts w:hint="eastAsia" w:ascii="仿宋_GB2312" w:hAnsi="仿宋_GB2312" w:eastAsia="仿宋_GB2312" w:cs="仿宋_GB2312"/>
                <w:b/>
                <w:bCs/>
                <w:color w:val="auto"/>
                <w:sz w:val="18"/>
                <w:szCs w:val="18"/>
                <w:highlight w:val="none"/>
              </w:rPr>
              <w:t>本工程排污许可证编号</w:t>
            </w:r>
          </w:p>
        </w:tc>
        <w:tc>
          <w:tcPr>
            <w:tcW w:w="2437" w:type="dxa"/>
            <w:gridSpan w:val="4"/>
            <w:noWrap w:val="0"/>
            <w:vAlign w:val="center"/>
          </w:tcPr>
          <w:p>
            <w:pPr>
              <w:jc w:val="center"/>
              <w:rPr>
                <w:rFonts w:hint="eastAsia" w:ascii="仿宋_GB2312" w:hAnsi="仿宋_GB2312" w:eastAsia="仿宋_GB2312" w:cs="仿宋_GB2312"/>
                <w:color w:val="auto"/>
                <w:sz w:val="18"/>
                <w:szCs w:val="18"/>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427" w:type="dxa"/>
            <w:vMerge w:val="continue"/>
            <w:tcBorders>
              <w:top w:val="nil"/>
            </w:tcBorders>
            <w:noWrap w:val="0"/>
            <w:textDirection w:val="tbRl"/>
            <w:vAlign w:val="center"/>
          </w:tcPr>
          <w:p>
            <w:pPr>
              <w:jc w:val="center"/>
              <w:rPr>
                <w:rFonts w:hint="eastAsia" w:ascii="仿宋_GB2312" w:hAnsi="仿宋_GB2312" w:eastAsia="仿宋_GB2312" w:cs="仿宋_GB2312"/>
                <w:color w:val="auto"/>
                <w:sz w:val="18"/>
                <w:szCs w:val="18"/>
              </w:rPr>
            </w:pPr>
          </w:p>
        </w:tc>
        <w:tc>
          <w:tcPr>
            <w:tcW w:w="2074" w:type="dxa"/>
            <w:gridSpan w:val="3"/>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验收单位</w:t>
            </w:r>
          </w:p>
        </w:tc>
        <w:tc>
          <w:tcPr>
            <w:tcW w:w="5286" w:type="dxa"/>
            <w:gridSpan w:val="7"/>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eastAsia="zh-CN"/>
              </w:rPr>
              <w:t xml:space="preserve">明光市沪光建筑材料有限公司 </w:t>
            </w:r>
          </w:p>
        </w:tc>
        <w:tc>
          <w:tcPr>
            <w:tcW w:w="2270" w:type="dxa"/>
            <w:gridSpan w:val="3"/>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环保设施监测单位</w:t>
            </w:r>
          </w:p>
        </w:tc>
        <w:tc>
          <w:tcPr>
            <w:tcW w:w="1455" w:type="dxa"/>
            <w:noWrap w:val="0"/>
            <w:vAlign w:val="center"/>
          </w:tcPr>
          <w:p>
            <w:pPr>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1869" w:type="dxa"/>
            <w:gridSpan w:val="3"/>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验收监测时工况</w:t>
            </w:r>
          </w:p>
        </w:tc>
        <w:tc>
          <w:tcPr>
            <w:tcW w:w="2437" w:type="dxa"/>
            <w:gridSpan w:val="4"/>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达到设计产能的</w:t>
            </w:r>
            <w:r>
              <w:rPr>
                <w:rFonts w:hint="eastAsia" w:ascii="仿宋_GB2312" w:hAnsi="仿宋_GB2312" w:eastAsia="仿宋_GB2312" w:cs="仿宋_GB2312"/>
                <w:color w:val="auto"/>
                <w:sz w:val="18"/>
                <w:szCs w:val="18"/>
                <w:lang w:val="en-US" w:eastAsia="zh-CN"/>
              </w:rPr>
              <w:t>75</w:t>
            </w:r>
            <w:r>
              <w:rPr>
                <w:rFonts w:hint="eastAsia" w:ascii="仿宋_GB2312" w:hAnsi="仿宋_GB2312" w:eastAsia="仿宋_GB2312" w:cs="仿宋_GB2312"/>
                <w:color w:val="auto"/>
                <w:sz w:val="18"/>
                <w:szCs w:val="18"/>
              </w:rPr>
              <w:t>%以上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427" w:type="dxa"/>
            <w:vMerge w:val="continue"/>
            <w:tcBorders>
              <w:top w:val="nil"/>
            </w:tcBorders>
            <w:noWrap w:val="0"/>
            <w:textDirection w:val="tbRl"/>
            <w:vAlign w:val="center"/>
          </w:tcPr>
          <w:p>
            <w:pPr>
              <w:jc w:val="center"/>
              <w:rPr>
                <w:rFonts w:hint="eastAsia" w:ascii="仿宋_GB2312" w:hAnsi="仿宋_GB2312" w:eastAsia="仿宋_GB2312" w:cs="仿宋_GB2312"/>
                <w:color w:val="auto"/>
                <w:sz w:val="18"/>
                <w:szCs w:val="18"/>
              </w:rPr>
            </w:pPr>
          </w:p>
        </w:tc>
        <w:tc>
          <w:tcPr>
            <w:tcW w:w="2074" w:type="dxa"/>
            <w:gridSpan w:val="3"/>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投资总概算（万元）</w:t>
            </w:r>
          </w:p>
        </w:tc>
        <w:tc>
          <w:tcPr>
            <w:tcW w:w="5286" w:type="dxa"/>
            <w:gridSpan w:val="7"/>
            <w:noWrap w:val="0"/>
            <w:vAlign w:val="center"/>
          </w:tcPr>
          <w:p>
            <w:pPr>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6500万元</w:t>
            </w:r>
          </w:p>
        </w:tc>
        <w:tc>
          <w:tcPr>
            <w:tcW w:w="2270" w:type="dxa"/>
            <w:gridSpan w:val="3"/>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环保投资总概算（万元）</w:t>
            </w:r>
          </w:p>
        </w:tc>
        <w:tc>
          <w:tcPr>
            <w:tcW w:w="1455" w:type="dxa"/>
            <w:noWrap w:val="0"/>
            <w:vAlign w:val="center"/>
          </w:tcPr>
          <w:p>
            <w:pPr>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44</w:t>
            </w:r>
          </w:p>
        </w:tc>
        <w:tc>
          <w:tcPr>
            <w:tcW w:w="1869" w:type="dxa"/>
            <w:gridSpan w:val="3"/>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所占比例（%）</w:t>
            </w:r>
          </w:p>
        </w:tc>
        <w:tc>
          <w:tcPr>
            <w:tcW w:w="2437" w:type="dxa"/>
            <w:gridSpan w:val="4"/>
            <w:noWrap w:val="0"/>
            <w:vAlign w:val="center"/>
          </w:tcPr>
          <w:p>
            <w:pPr>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0.68%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427" w:type="dxa"/>
            <w:vMerge w:val="continue"/>
            <w:tcBorders>
              <w:top w:val="nil"/>
            </w:tcBorders>
            <w:noWrap w:val="0"/>
            <w:textDirection w:val="tbRl"/>
            <w:vAlign w:val="center"/>
          </w:tcPr>
          <w:p>
            <w:pPr>
              <w:jc w:val="center"/>
              <w:rPr>
                <w:rFonts w:hint="eastAsia" w:ascii="仿宋_GB2312" w:hAnsi="仿宋_GB2312" w:eastAsia="仿宋_GB2312" w:cs="仿宋_GB2312"/>
                <w:color w:val="auto"/>
                <w:sz w:val="18"/>
                <w:szCs w:val="18"/>
              </w:rPr>
            </w:pPr>
          </w:p>
        </w:tc>
        <w:tc>
          <w:tcPr>
            <w:tcW w:w="2074" w:type="dxa"/>
            <w:gridSpan w:val="3"/>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实际总投资（万元）</w:t>
            </w:r>
          </w:p>
        </w:tc>
        <w:tc>
          <w:tcPr>
            <w:tcW w:w="5286" w:type="dxa"/>
            <w:gridSpan w:val="7"/>
            <w:noWrap w:val="0"/>
            <w:vAlign w:val="center"/>
          </w:tcPr>
          <w:p>
            <w:pPr>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5000</w:t>
            </w:r>
            <w:r>
              <w:rPr>
                <w:rFonts w:hint="default" w:ascii="仿宋_GB2312" w:hAnsi="仿宋_GB2312" w:eastAsia="仿宋_GB2312" w:cs="仿宋_GB2312"/>
                <w:color w:val="auto"/>
                <w:sz w:val="18"/>
                <w:szCs w:val="18"/>
                <w:lang w:val="en-US" w:eastAsia="zh-CN"/>
              </w:rPr>
              <w:t>万元</w:t>
            </w:r>
          </w:p>
        </w:tc>
        <w:tc>
          <w:tcPr>
            <w:tcW w:w="2270" w:type="dxa"/>
            <w:gridSpan w:val="3"/>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实际环保投资（万元）</w:t>
            </w:r>
          </w:p>
        </w:tc>
        <w:tc>
          <w:tcPr>
            <w:tcW w:w="1455" w:type="dxa"/>
            <w:noWrap w:val="0"/>
            <w:vAlign w:val="center"/>
          </w:tcPr>
          <w:p>
            <w:pPr>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45</w:t>
            </w:r>
          </w:p>
        </w:tc>
        <w:tc>
          <w:tcPr>
            <w:tcW w:w="1869" w:type="dxa"/>
            <w:gridSpan w:val="3"/>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所占比例（%）</w:t>
            </w:r>
          </w:p>
        </w:tc>
        <w:tc>
          <w:tcPr>
            <w:tcW w:w="2437" w:type="dxa"/>
            <w:gridSpan w:val="4"/>
            <w:noWrap w:val="0"/>
            <w:vAlign w:val="center"/>
          </w:tcPr>
          <w:p>
            <w:pPr>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427" w:type="dxa"/>
            <w:vMerge w:val="continue"/>
            <w:tcBorders>
              <w:top w:val="nil"/>
            </w:tcBorders>
            <w:noWrap w:val="0"/>
            <w:textDirection w:val="tbRl"/>
            <w:vAlign w:val="center"/>
          </w:tcPr>
          <w:p>
            <w:pPr>
              <w:jc w:val="center"/>
              <w:rPr>
                <w:rFonts w:hint="eastAsia" w:ascii="仿宋_GB2312" w:hAnsi="仿宋_GB2312" w:eastAsia="仿宋_GB2312" w:cs="仿宋_GB2312"/>
                <w:color w:val="auto"/>
                <w:sz w:val="18"/>
                <w:szCs w:val="18"/>
              </w:rPr>
            </w:pPr>
          </w:p>
        </w:tc>
        <w:tc>
          <w:tcPr>
            <w:tcW w:w="2074" w:type="dxa"/>
            <w:gridSpan w:val="3"/>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废水治理（万元）</w:t>
            </w:r>
          </w:p>
        </w:tc>
        <w:tc>
          <w:tcPr>
            <w:tcW w:w="800" w:type="dxa"/>
            <w:noWrap w:val="0"/>
            <w:vAlign w:val="center"/>
          </w:tcPr>
          <w:p>
            <w:pPr>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11</w:t>
            </w:r>
          </w:p>
        </w:tc>
        <w:tc>
          <w:tcPr>
            <w:tcW w:w="1282" w:type="dxa"/>
            <w:gridSpan w:val="2"/>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b/>
                <w:bCs/>
                <w:color w:val="auto"/>
                <w:sz w:val="18"/>
                <w:szCs w:val="18"/>
              </w:rPr>
              <w:t>废气治理（万元）</w:t>
            </w:r>
          </w:p>
        </w:tc>
        <w:tc>
          <w:tcPr>
            <w:tcW w:w="989" w:type="dxa"/>
            <w:noWrap w:val="0"/>
            <w:vAlign w:val="center"/>
          </w:tcPr>
          <w:p>
            <w:pPr>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30</w:t>
            </w:r>
          </w:p>
        </w:tc>
        <w:tc>
          <w:tcPr>
            <w:tcW w:w="1515" w:type="dxa"/>
            <w:gridSpan w:val="2"/>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b/>
                <w:bCs/>
                <w:color w:val="auto"/>
                <w:sz w:val="18"/>
                <w:szCs w:val="18"/>
              </w:rPr>
              <w:t>噪声治理（万元）</w:t>
            </w:r>
          </w:p>
        </w:tc>
        <w:tc>
          <w:tcPr>
            <w:tcW w:w="700" w:type="dxa"/>
            <w:noWrap w:val="0"/>
            <w:vAlign w:val="center"/>
          </w:tcPr>
          <w:p>
            <w:pPr>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3</w:t>
            </w:r>
          </w:p>
        </w:tc>
        <w:tc>
          <w:tcPr>
            <w:tcW w:w="2270" w:type="dxa"/>
            <w:gridSpan w:val="3"/>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固体废物治理（万元）</w:t>
            </w:r>
          </w:p>
        </w:tc>
        <w:tc>
          <w:tcPr>
            <w:tcW w:w="1455" w:type="dxa"/>
            <w:noWrap w:val="0"/>
            <w:vAlign w:val="center"/>
          </w:tcPr>
          <w:p>
            <w:pPr>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1</w:t>
            </w:r>
          </w:p>
        </w:tc>
        <w:tc>
          <w:tcPr>
            <w:tcW w:w="1869" w:type="dxa"/>
            <w:gridSpan w:val="3"/>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绿化及生态（万元）</w:t>
            </w:r>
          </w:p>
        </w:tc>
        <w:tc>
          <w:tcPr>
            <w:tcW w:w="667" w:type="dxa"/>
            <w:gridSpan w:val="2"/>
            <w:noWrap w:val="0"/>
            <w:vAlign w:val="center"/>
          </w:tcPr>
          <w:p>
            <w:pPr>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981" w:type="dxa"/>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b/>
                <w:bCs/>
                <w:color w:val="auto"/>
                <w:sz w:val="18"/>
                <w:szCs w:val="18"/>
              </w:rPr>
              <w:t>其他（万元）</w:t>
            </w:r>
          </w:p>
        </w:tc>
        <w:tc>
          <w:tcPr>
            <w:tcW w:w="789" w:type="dxa"/>
            <w:noWrap w:val="0"/>
            <w:vAlign w:val="center"/>
          </w:tcPr>
          <w:p>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427" w:type="dxa"/>
            <w:vMerge w:val="continue"/>
            <w:tcBorders>
              <w:top w:val="nil"/>
            </w:tcBorders>
            <w:noWrap w:val="0"/>
            <w:textDirection w:val="tbRl"/>
            <w:vAlign w:val="center"/>
          </w:tcPr>
          <w:p>
            <w:pPr>
              <w:jc w:val="center"/>
              <w:rPr>
                <w:rFonts w:hint="eastAsia" w:ascii="仿宋_GB2312" w:hAnsi="仿宋_GB2312" w:eastAsia="仿宋_GB2312" w:cs="仿宋_GB2312"/>
                <w:color w:val="auto"/>
                <w:sz w:val="18"/>
                <w:szCs w:val="18"/>
              </w:rPr>
            </w:pPr>
          </w:p>
        </w:tc>
        <w:tc>
          <w:tcPr>
            <w:tcW w:w="2074" w:type="dxa"/>
            <w:gridSpan w:val="3"/>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新增废水处理设施能力</w:t>
            </w:r>
          </w:p>
        </w:tc>
        <w:tc>
          <w:tcPr>
            <w:tcW w:w="5286" w:type="dxa"/>
            <w:gridSpan w:val="7"/>
            <w:noWrap w:val="0"/>
            <w:vAlign w:val="center"/>
          </w:tcPr>
          <w:p>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w:t>
            </w:r>
          </w:p>
        </w:tc>
        <w:tc>
          <w:tcPr>
            <w:tcW w:w="2270" w:type="dxa"/>
            <w:gridSpan w:val="3"/>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新增废气处理设施能力</w:t>
            </w:r>
          </w:p>
        </w:tc>
        <w:tc>
          <w:tcPr>
            <w:tcW w:w="1455" w:type="dxa"/>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w:t>
            </w:r>
          </w:p>
        </w:tc>
        <w:tc>
          <w:tcPr>
            <w:tcW w:w="1869" w:type="dxa"/>
            <w:gridSpan w:val="3"/>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年平均工作时</w:t>
            </w:r>
          </w:p>
        </w:tc>
        <w:tc>
          <w:tcPr>
            <w:tcW w:w="2437" w:type="dxa"/>
            <w:gridSpan w:val="4"/>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2400</w:t>
            </w:r>
            <w:r>
              <w:rPr>
                <w:rFonts w:hint="eastAsia" w:ascii="仿宋_GB2312" w:hAnsi="仿宋_GB2312" w:eastAsia="仿宋_GB2312" w:cs="仿宋_GB2312"/>
                <w:color w:val="auto"/>
                <w:sz w:val="18"/>
                <w:szCs w:val="18"/>
              </w:rPr>
              <w:t>小时/年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2501" w:type="dxa"/>
            <w:gridSpan w:val="4"/>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运营单位</w:t>
            </w:r>
          </w:p>
        </w:tc>
        <w:tc>
          <w:tcPr>
            <w:tcW w:w="3071" w:type="dxa"/>
            <w:gridSpan w:val="4"/>
            <w:noWrap w:val="0"/>
            <w:vAlign w:val="center"/>
          </w:tcPr>
          <w:p>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 xml:space="preserve">明光市沪光建筑材料有限公司 </w:t>
            </w:r>
          </w:p>
        </w:tc>
        <w:tc>
          <w:tcPr>
            <w:tcW w:w="3343" w:type="dxa"/>
            <w:gridSpan w:val="4"/>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b/>
                <w:bCs/>
                <w:color w:val="auto"/>
                <w:sz w:val="18"/>
                <w:szCs w:val="18"/>
              </w:rPr>
              <w:t>运营单位社会统一组织机构代码</w:t>
            </w:r>
          </w:p>
        </w:tc>
        <w:tc>
          <w:tcPr>
            <w:tcW w:w="2597" w:type="dxa"/>
            <w:gridSpan w:val="3"/>
            <w:noWrap w:val="0"/>
            <w:vAlign w:val="center"/>
          </w:tcPr>
          <w:p>
            <w:pPr>
              <w:jc w:val="center"/>
              <w:rPr>
                <w:rFonts w:hint="default" w:ascii="仿宋_GB2312" w:hAnsi="仿宋_GB2312" w:eastAsia="仿宋_GB2312" w:cs="仿宋_GB2312"/>
                <w:color w:val="auto"/>
                <w:sz w:val="18"/>
                <w:szCs w:val="18"/>
                <w:lang w:val="en-US" w:eastAsia="zh-CN"/>
              </w:rPr>
            </w:pPr>
            <w:r>
              <w:rPr>
                <w:rFonts w:hint="default" w:ascii="仿宋_GB2312" w:hAnsi="仿宋_GB2312" w:eastAsia="仿宋_GB2312" w:cs="仿宋_GB2312"/>
                <w:color w:val="auto"/>
                <w:sz w:val="18"/>
                <w:szCs w:val="18"/>
                <w:lang w:val="en-US" w:eastAsia="zh-CN"/>
              </w:rPr>
              <w:t>91341182MA2U9W8X5J</w:t>
            </w:r>
          </w:p>
        </w:tc>
        <w:tc>
          <w:tcPr>
            <w:tcW w:w="1869" w:type="dxa"/>
            <w:gridSpan w:val="3"/>
            <w:noWrap w:val="0"/>
            <w:vAlign w:val="center"/>
          </w:tcPr>
          <w:p>
            <w:pPr>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b/>
                <w:bCs/>
                <w:color w:val="auto"/>
                <w:sz w:val="18"/>
                <w:szCs w:val="18"/>
                <w:lang w:val="en-US" w:eastAsia="zh-CN"/>
              </w:rPr>
              <w:t>验收时间</w:t>
            </w:r>
          </w:p>
        </w:tc>
        <w:tc>
          <w:tcPr>
            <w:tcW w:w="2437" w:type="dxa"/>
            <w:gridSpan w:val="4"/>
            <w:noWrap w:val="0"/>
            <w:vAlign w:val="center"/>
          </w:tcPr>
          <w:p>
            <w:pPr>
              <w:jc w:val="center"/>
              <w:rPr>
                <w:rFonts w:hint="default" w:ascii="仿宋_GB2312" w:hAnsi="仿宋_GB2312" w:eastAsia="仿宋_GB2312" w:cs="仿宋_GB2312"/>
                <w:color w:val="auto"/>
                <w:sz w:val="18"/>
                <w:szCs w:val="18"/>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596" w:type="dxa"/>
            <w:gridSpan w:val="2"/>
            <w:vMerge w:val="restart"/>
            <w:noWrap w:val="0"/>
            <w:vAlign w:val="center"/>
          </w:tcPr>
          <w:p>
            <w:pPr>
              <w:jc w:val="center"/>
              <w:rPr>
                <w:rFonts w:hint="eastAsia" w:ascii="仿宋_GB2312" w:hAnsi="仿宋_GB2312" w:eastAsia="仿宋_GB2312" w:cs="仿宋_GB2312"/>
                <w:b/>
                <w:bCs/>
                <w:color w:val="auto"/>
                <w:sz w:val="18"/>
                <w:szCs w:val="18"/>
              </w:rPr>
            </w:pPr>
          </w:p>
          <w:p>
            <w:pPr>
              <w:jc w:val="center"/>
              <w:rPr>
                <w:rFonts w:hint="eastAsia" w:ascii="仿宋_GB2312" w:hAnsi="仿宋_GB2312" w:eastAsia="仿宋_GB2312" w:cs="仿宋_GB2312"/>
                <w:b/>
                <w:bCs/>
                <w:color w:val="auto"/>
                <w:sz w:val="18"/>
                <w:szCs w:val="18"/>
              </w:rPr>
            </w:pPr>
          </w:p>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污染物排放达标与总量控制</w:t>
            </w:r>
          </w:p>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 工业建设项目详填）</w:t>
            </w:r>
          </w:p>
        </w:tc>
        <w:tc>
          <w:tcPr>
            <w:tcW w:w="1905" w:type="dxa"/>
            <w:gridSpan w:val="2"/>
            <w:noWrap w:val="0"/>
            <w:vAlign w:val="center"/>
          </w:tcPr>
          <w:p>
            <w:pPr>
              <w:jc w:val="center"/>
              <w:rPr>
                <w:rFonts w:hint="eastAsia" w:ascii="仿宋_GB2312" w:hAnsi="仿宋_GB2312" w:eastAsia="仿宋_GB2312" w:cs="仿宋_GB2312"/>
                <w:b/>
                <w:bCs/>
                <w:color w:val="auto"/>
                <w:sz w:val="18"/>
                <w:szCs w:val="18"/>
              </w:rPr>
            </w:pPr>
          </w:p>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污染物</w:t>
            </w:r>
          </w:p>
        </w:tc>
        <w:tc>
          <w:tcPr>
            <w:tcW w:w="800" w:type="dxa"/>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原有排放量(1)</w:t>
            </w:r>
          </w:p>
        </w:tc>
        <w:tc>
          <w:tcPr>
            <w:tcW w:w="1150" w:type="dxa"/>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本期工程实际排放浓度(2)</w:t>
            </w:r>
          </w:p>
        </w:tc>
        <w:tc>
          <w:tcPr>
            <w:tcW w:w="1121" w:type="dxa"/>
            <w:gridSpan w:val="2"/>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本期工程允许排放浓度(3)</w:t>
            </w:r>
          </w:p>
        </w:tc>
        <w:tc>
          <w:tcPr>
            <w:tcW w:w="1071" w:type="dxa"/>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本期工程产生量(4)</w:t>
            </w:r>
          </w:p>
        </w:tc>
        <w:tc>
          <w:tcPr>
            <w:tcW w:w="1144" w:type="dxa"/>
            <w:gridSpan w:val="2"/>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本期工程自身削减量(5)</w:t>
            </w:r>
          </w:p>
        </w:tc>
        <w:tc>
          <w:tcPr>
            <w:tcW w:w="1128" w:type="dxa"/>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本期工程实际排放量(6)</w:t>
            </w:r>
          </w:p>
        </w:tc>
        <w:tc>
          <w:tcPr>
            <w:tcW w:w="1142" w:type="dxa"/>
            <w:gridSpan w:val="2"/>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本期工程核定排放总量(7)</w:t>
            </w:r>
          </w:p>
        </w:tc>
        <w:tc>
          <w:tcPr>
            <w:tcW w:w="1455" w:type="dxa"/>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本期工程“以新带老” 削减量(8)</w:t>
            </w:r>
          </w:p>
        </w:tc>
        <w:tc>
          <w:tcPr>
            <w:tcW w:w="1177" w:type="dxa"/>
            <w:gridSpan w:val="2"/>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全厂实际排放总量(9)</w:t>
            </w:r>
          </w:p>
        </w:tc>
        <w:tc>
          <w:tcPr>
            <w:tcW w:w="1241" w:type="dxa"/>
            <w:gridSpan w:val="2"/>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全厂核定排放总量(10)</w:t>
            </w:r>
          </w:p>
        </w:tc>
        <w:tc>
          <w:tcPr>
            <w:tcW w:w="1099" w:type="dxa"/>
            <w:gridSpan w:val="2"/>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区域平衡替代削减量(11)</w:t>
            </w:r>
          </w:p>
        </w:tc>
        <w:tc>
          <w:tcPr>
            <w:tcW w:w="789" w:type="dxa"/>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排放增减量(12)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596" w:type="dxa"/>
            <w:gridSpan w:val="2"/>
            <w:vMerge w:val="continue"/>
            <w:noWrap w:val="0"/>
            <w:vAlign w:val="center"/>
          </w:tcPr>
          <w:p>
            <w:pPr>
              <w:jc w:val="center"/>
              <w:rPr>
                <w:rFonts w:hint="eastAsia" w:ascii="仿宋_GB2312" w:hAnsi="仿宋_GB2312" w:eastAsia="仿宋_GB2312" w:cs="仿宋_GB2312"/>
                <w:b/>
                <w:bCs/>
                <w:color w:val="auto"/>
                <w:sz w:val="18"/>
                <w:szCs w:val="18"/>
              </w:rPr>
            </w:pPr>
          </w:p>
        </w:tc>
        <w:tc>
          <w:tcPr>
            <w:tcW w:w="1905" w:type="dxa"/>
            <w:gridSpan w:val="2"/>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废水</w:t>
            </w:r>
          </w:p>
        </w:tc>
        <w:tc>
          <w:tcPr>
            <w:tcW w:w="800" w:type="dxa"/>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w:t>
            </w:r>
          </w:p>
        </w:tc>
        <w:tc>
          <w:tcPr>
            <w:tcW w:w="1150" w:type="dxa"/>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w:t>
            </w:r>
          </w:p>
        </w:tc>
        <w:tc>
          <w:tcPr>
            <w:tcW w:w="1121" w:type="dxa"/>
            <w:gridSpan w:val="2"/>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w:t>
            </w:r>
          </w:p>
        </w:tc>
        <w:tc>
          <w:tcPr>
            <w:tcW w:w="1071" w:type="dxa"/>
            <w:noWrap w:val="0"/>
            <w:vAlign w:val="center"/>
          </w:tcPr>
          <w:p>
            <w:pPr>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1144" w:type="dxa"/>
            <w:gridSpan w:val="2"/>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w:t>
            </w:r>
          </w:p>
        </w:tc>
        <w:tc>
          <w:tcPr>
            <w:tcW w:w="1128" w:type="dxa"/>
            <w:noWrap w:val="0"/>
            <w:vAlign w:val="center"/>
          </w:tcPr>
          <w:p>
            <w:pPr>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1142" w:type="dxa"/>
            <w:gridSpan w:val="2"/>
            <w:noWrap w:val="0"/>
            <w:vAlign w:val="center"/>
          </w:tcPr>
          <w:p>
            <w:pPr>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sz w:val="18"/>
                <w:szCs w:val="18"/>
                <w:lang w:val="en-US" w:eastAsia="zh-CN"/>
              </w:rPr>
              <w:t>/</w:t>
            </w:r>
          </w:p>
        </w:tc>
        <w:tc>
          <w:tcPr>
            <w:tcW w:w="1455" w:type="dxa"/>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w:t>
            </w:r>
          </w:p>
        </w:tc>
        <w:tc>
          <w:tcPr>
            <w:tcW w:w="1177" w:type="dxa"/>
            <w:gridSpan w:val="2"/>
            <w:noWrap w:val="0"/>
            <w:vAlign w:val="center"/>
          </w:tcPr>
          <w:p>
            <w:pPr>
              <w:jc w:val="center"/>
              <w:rPr>
                <w:rFonts w:hint="default"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sz w:val="18"/>
                <w:szCs w:val="18"/>
                <w:lang w:val="en-US" w:eastAsia="zh-CN"/>
              </w:rPr>
              <w:t>/</w:t>
            </w:r>
          </w:p>
        </w:tc>
        <w:tc>
          <w:tcPr>
            <w:tcW w:w="1241" w:type="dxa"/>
            <w:gridSpan w:val="2"/>
            <w:noWrap w:val="0"/>
            <w:vAlign w:val="center"/>
          </w:tcPr>
          <w:p>
            <w:pPr>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sz w:val="18"/>
                <w:szCs w:val="18"/>
              </w:rPr>
              <w:t>/</w:t>
            </w:r>
          </w:p>
        </w:tc>
        <w:tc>
          <w:tcPr>
            <w:tcW w:w="1099" w:type="dxa"/>
            <w:gridSpan w:val="2"/>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w:t>
            </w:r>
          </w:p>
        </w:tc>
        <w:tc>
          <w:tcPr>
            <w:tcW w:w="789" w:type="dxa"/>
            <w:noWrap w:val="0"/>
            <w:vAlign w:val="center"/>
          </w:tcPr>
          <w:p>
            <w:pPr>
              <w:jc w:val="center"/>
              <w:rPr>
                <w:rFonts w:hint="default"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596" w:type="dxa"/>
            <w:gridSpan w:val="2"/>
            <w:vMerge w:val="continue"/>
            <w:noWrap w:val="0"/>
            <w:vAlign w:val="center"/>
          </w:tcPr>
          <w:p>
            <w:pPr>
              <w:jc w:val="center"/>
              <w:rPr>
                <w:rFonts w:hint="eastAsia" w:ascii="仿宋_GB2312" w:hAnsi="仿宋_GB2312" w:eastAsia="仿宋_GB2312" w:cs="仿宋_GB2312"/>
                <w:b/>
                <w:bCs/>
                <w:color w:val="auto"/>
                <w:sz w:val="18"/>
                <w:szCs w:val="18"/>
              </w:rPr>
            </w:pPr>
          </w:p>
        </w:tc>
        <w:tc>
          <w:tcPr>
            <w:tcW w:w="1905" w:type="dxa"/>
            <w:gridSpan w:val="2"/>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化学需氧量</w:t>
            </w:r>
          </w:p>
        </w:tc>
        <w:tc>
          <w:tcPr>
            <w:tcW w:w="800" w:type="dxa"/>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w:t>
            </w:r>
          </w:p>
        </w:tc>
        <w:tc>
          <w:tcPr>
            <w:tcW w:w="1150" w:type="dxa"/>
            <w:noWrap w:val="0"/>
            <w:vAlign w:val="center"/>
          </w:tcPr>
          <w:p>
            <w:pPr>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1121" w:type="dxa"/>
            <w:gridSpan w:val="2"/>
            <w:noWrap w:val="0"/>
            <w:vAlign w:val="center"/>
          </w:tcPr>
          <w:p>
            <w:pPr>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1071" w:type="dxa"/>
            <w:noWrap w:val="0"/>
            <w:vAlign w:val="center"/>
          </w:tcPr>
          <w:p>
            <w:pPr>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1144" w:type="dxa"/>
            <w:gridSpan w:val="2"/>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w:t>
            </w:r>
          </w:p>
        </w:tc>
        <w:tc>
          <w:tcPr>
            <w:tcW w:w="1128" w:type="dxa"/>
            <w:noWrap w:val="0"/>
            <w:vAlign w:val="center"/>
          </w:tcPr>
          <w:p>
            <w:pPr>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1142" w:type="dxa"/>
            <w:gridSpan w:val="2"/>
            <w:noWrap w:val="0"/>
            <w:vAlign w:val="center"/>
          </w:tcPr>
          <w:p>
            <w:pPr>
              <w:jc w:val="center"/>
              <w:rPr>
                <w:rFonts w:hint="default"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sz w:val="18"/>
                <w:szCs w:val="18"/>
                <w:lang w:val="en-US" w:eastAsia="zh-CN"/>
              </w:rPr>
              <w:t>/</w:t>
            </w:r>
          </w:p>
        </w:tc>
        <w:tc>
          <w:tcPr>
            <w:tcW w:w="1455" w:type="dxa"/>
            <w:noWrap w:val="0"/>
            <w:vAlign w:val="center"/>
          </w:tcPr>
          <w:p>
            <w:pPr>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1177" w:type="dxa"/>
            <w:gridSpan w:val="2"/>
            <w:noWrap w:val="0"/>
            <w:vAlign w:val="center"/>
          </w:tcPr>
          <w:p>
            <w:pPr>
              <w:jc w:val="center"/>
              <w:rPr>
                <w:rFonts w:hint="default"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sz w:val="18"/>
                <w:szCs w:val="18"/>
                <w:lang w:val="en-US" w:eastAsia="zh-CN"/>
              </w:rPr>
              <w:t>/</w:t>
            </w:r>
          </w:p>
        </w:tc>
        <w:tc>
          <w:tcPr>
            <w:tcW w:w="1241" w:type="dxa"/>
            <w:gridSpan w:val="2"/>
            <w:noWrap w:val="0"/>
            <w:vAlign w:val="center"/>
          </w:tcPr>
          <w:p>
            <w:pPr>
              <w:jc w:val="center"/>
              <w:rPr>
                <w:rFonts w:hint="default"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sz w:val="18"/>
                <w:szCs w:val="18"/>
              </w:rPr>
              <w:t>/</w:t>
            </w:r>
          </w:p>
        </w:tc>
        <w:tc>
          <w:tcPr>
            <w:tcW w:w="1099" w:type="dxa"/>
            <w:gridSpan w:val="2"/>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w:t>
            </w:r>
          </w:p>
        </w:tc>
        <w:tc>
          <w:tcPr>
            <w:tcW w:w="789" w:type="dxa"/>
            <w:noWrap w:val="0"/>
            <w:vAlign w:val="center"/>
          </w:tcPr>
          <w:p>
            <w:pPr>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596" w:type="dxa"/>
            <w:gridSpan w:val="2"/>
            <w:vMerge w:val="continue"/>
            <w:noWrap w:val="0"/>
            <w:vAlign w:val="center"/>
          </w:tcPr>
          <w:p>
            <w:pPr>
              <w:jc w:val="center"/>
              <w:rPr>
                <w:rFonts w:hint="eastAsia" w:ascii="仿宋_GB2312" w:hAnsi="仿宋_GB2312" w:eastAsia="仿宋_GB2312" w:cs="仿宋_GB2312"/>
                <w:b/>
                <w:bCs/>
                <w:color w:val="auto"/>
                <w:sz w:val="18"/>
                <w:szCs w:val="18"/>
              </w:rPr>
            </w:pPr>
          </w:p>
        </w:tc>
        <w:tc>
          <w:tcPr>
            <w:tcW w:w="1905" w:type="dxa"/>
            <w:gridSpan w:val="2"/>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氨氮</w:t>
            </w:r>
          </w:p>
        </w:tc>
        <w:tc>
          <w:tcPr>
            <w:tcW w:w="800" w:type="dxa"/>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w:t>
            </w:r>
          </w:p>
        </w:tc>
        <w:tc>
          <w:tcPr>
            <w:tcW w:w="1150" w:type="dxa"/>
            <w:noWrap w:val="0"/>
            <w:vAlign w:val="center"/>
          </w:tcPr>
          <w:p>
            <w:pPr>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1121" w:type="dxa"/>
            <w:gridSpan w:val="2"/>
            <w:noWrap w:val="0"/>
            <w:vAlign w:val="center"/>
          </w:tcPr>
          <w:p>
            <w:pPr>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1071" w:type="dxa"/>
            <w:noWrap w:val="0"/>
            <w:vAlign w:val="center"/>
          </w:tcPr>
          <w:p>
            <w:pPr>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1144" w:type="dxa"/>
            <w:gridSpan w:val="2"/>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w:t>
            </w:r>
          </w:p>
        </w:tc>
        <w:tc>
          <w:tcPr>
            <w:tcW w:w="1128" w:type="dxa"/>
            <w:noWrap w:val="0"/>
            <w:vAlign w:val="center"/>
          </w:tcPr>
          <w:p>
            <w:pPr>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1142" w:type="dxa"/>
            <w:gridSpan w:val="2"/>
            <w:noWrap w:val="0"/>
            <w:vAlign w:val="center"/>
          </w:tcPr>
          <w:p>
            <w:pPr>
              <w:jc w:val="center"/>
              <w:rPr>
                <w:rFonts w:hint="default"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sz w:val="18"/>
                <w:szCs w:val="18"/>
                <w:lang w:val="en-US" w:eastAsia="zh-CN"/>
              </w:rPr>
              <w:t>/</w:t>
            </w:r>
          </w:p>
        </w:tc>
        <w:tc>
          <w:tcPr>
            <w:tcW w:w="1455" w:type="dxa"/>
            <w:noWrap w:val="0"/>
            <w:vAlign w:val="center"/>
          </w:tcPr>
          <w:p>
            <w:pPr>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1177" w:type="dxa"/>
            <w:gridSpan w:val="2"/>
            <w:noWrap w:val="0"/>
            <w:vAlign w:val="center"/>
          </w:tcPr>
          <w:p>
            <w:pPr>
              <w:jc w:val="center"/>
              <w:rPr>
                <w:rFonts w:hint="default"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sz w:val="18"/>
                <w:szCs w:val="18"/>
                <w:lang w:val="en-US" w:eastAsia="zh-CN"/>
              </w:rPr>
              <w:t>/</w:t>
            </w:r>
          </w:p>
        </w:tc>
        <w:tc>
          <w:tcPr>
            <w:tcW w:w="1241" w:type="dxa"/>
            <w:gridSpan w:val="2"/>
            <w:noWrap w:val="0"/>
            <w:vAlign w:val="center"/>
          </w:tcPr>
          <w:p>
            <w:pPr>
              <w:jc w:val="center"/>
              <w:rPr>
                <w:rFonts w:hint="default"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sz w:val="18"/>
                <w:szCs w:val="18"/>
              </w:rPr>
              <w:t>/</w:t>
            </w:r>
          </w:p>
        </w:tc>
        <w:tc>
          <w:tcPr>
            <w:tcW w:w="1099" w:type="dxa"/>
            <w:gridSpan w:val="2"/>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w:t>
            </w:r>
          </w:p>
        </w:tc>
        <w:tc>
          <w:tcPr>
            <w:tcW w:w="789" w:type="dxa"/>
            <w:noWrap w:val="0"/>
            <w:vAlign w:val="center"/>
          </w:tcPr>
          <w:p>
            <w:pPr>
              <w:jc w:val="center"/>
              <w:rPr>
                <w:rFonts w:hint="default"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596" w:type="dxa"/>
            <w:gridSpan w:val="2"/>
            <w:vMerge w:val="continue"/>
            <w:noWrap w:val="0"/>
            <w:vAlign w:val="center"/>
          </w:tcPr>
          <w:p>
            <w:pPr>
              <w:jc w:val="center"/>
              <w:rPr>
                <w:rFonts w:hint="eastAsia" w:ascii="仿宋_GB2312" w:hAnsi="仿宋_GB2312" w:eastAsia="仿宋_GB2312" w:cs="仿宋_GB2312"/>
                <w:b/>
                <w:bCs/>
                <w:color w:val="auto"/>
                <w:sz w:val="18"/>
                <w:szCs w:val="18"/>
              </w:rPr>
            </w:pPr>
          </w:p>
        </w:tc>
        <w:tc>
          <w:tcPr>
            <w:tcW w:w="1905" w:type="dxa"/>
            <w:gridSpan w:val="2"/>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石油类</w:t>
            </w:r>
          </w:p>
        </w:tc>
        <w:tc>
          <w:tcPr>
            <w:tcW w:w="800" w:type="dxa"/>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w:t>
            </w:r>
          </w:p>
        </w:tc>
        <w:tc>
          <w:tcPr>
            <w:tcW w:w="1150" w:type="dxa"/>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w:t>
            </w:r>
          </w:p>
        </w:tc>
        <w:tc>
          <w:tcPr>
            <w:tcW w:w="1121" w:type="dxa"/>
            <w:gridSpan w:val="2"/>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w:t>
            </w:r>
          </w:p>
        </w:tc>
        <w:tc>
          <w:tcPr>
            <w:tcW w:w="1071" w:type="dxa"/>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w:t>
            </w:r>
          </w:p>
        </w:tc>
        <w:tc>
          <w:tcPr>
            <w:tcW w:w="1144" w:type="dxa"/>
            <w:gridSpan w:val="2"/>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w:t>
            </w:r>
          </w:p>
        </w:tc>
        <w:tc>
          <w:tcPr>
            <w:tcW w:w="1128" w:type="dxa"/>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w:t>
            </w:r>
          </w:p>
        </w:tc>
        <w:tc>
          <w:tcPr>
            <w:tcW w:w="1142" w:type="dxa"/>
            <w:gridSpan w:val="2"/>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w:t>
            </w:r>
          </w:p>
        </w:tc>
        <w:tc>
          <w:tcPr>
            <w:tcW w:w="1455" w:type="dxa"/>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w:t>
            </w:r>
          </w:p>
        </w:tc>
        <w:tc>
          <w:tcPr>
            <w:tcW w:w="1177" w:type="dxa"/>
            <w:gridSpan w:val="2"/>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w:t>
            </w:r>
          </w:p>
        </w:tc>
        <w:tc>
          <w:tcPr>
            <w:tcW w:w="1241" w:type="dxa"/>
            <w:gridSpan w:val="2"/>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w:t>
            </w:r>
          </w:p>
        </w:tc>
        <w:tc>
          <w:tcPr>
            <w:tcW w:w="1099" w:type="dxa"/>
            <w:gridSpan w:val="2"/>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w:t>
            </w:r>
          </w:p>
        </w:tc>
        <w:tc>
          <w:tcPr>
            <w:tcW w:w="789" w:type="dxa"/>
            <w:noWrap w:val="0"/>
            <w:vAlign w:val="center"/>
          </w:tcPr>
          <w:p>
            <w:pPr>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596" w:type="dxa"/>
            <w:gridSpan w:val="2"/>
            <w:vMerge w:val="continue"/>
            <w:noWrap w:val="0"/>
            <w:vAlign w:val="center"/>
          </w:tcPr>
          <w:p>
            <w:pPr>
              <w:jc w:val="center"/>
              <w:rPr>
                <w:rFonts w:hint="eastAsia" w:ascii="仿宋_GB2312" w:hAnsi="仿宋_GB2312" w:eastAsia="仿宋_GB2312" w:cs="仿宋_GB2312"/>
                <w:b/>
                <w:bCs/>
                <w:color w:val="auto"/>
                <w:sz w:val="18"/>
                <w:szCs w:val="18"/>
              </w:rPr>
            </w:pPr>
          </w:p>
        </w:tc>
        <w:tc>
          <w:tcPr>
            <w:tcW w:w="1905" w:type="dxa"/>
            <w:gridSpan w:val="2"/>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废气</w:t>
            </w:r>
          </w:p>
        </w:tc>
        <w:tc>
          <w:tcPr>
            <w:tcW w:w="800" w:type="dxa"/>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w:t>
            </w:r>
          </w:p>
        </w:tc>
        <w:tc>
          <w:tcPr>
            <w:tcW w:w="1150" w:type="dxa"/>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w:t>
            </w:r>
          </w:p>
        </w:tc>
        <w:tc>
          <w:tcPr>
            <w:tcW w:w="1121" w:type="dxa"/>
            <w:gridSpan w:val="2"/>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w:t>
            </w:r>
          </w:p>
        </w:tc>
        <w:tc>
          <w:tcPr>
            <w:tcW w:w="1071" w:type="dxa"/>
            <w:noWrap w:val="0"/>
            <w:vAlign w:val="center"/>
          </w:tcPr>
          <w:p>
            <w:pPr>
              <w:jc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lang w:val="en-US" w:eastAsia="zh-CN"/>
              </w:rPr>
              <w:t>/</w:t>
            </w:r>
          </w:p>
        </w:tc>
        <w:tc>
          <w:tcPr>
            <w:tcW w:w="1144" w:type="dxa"/>
            <w:gridSpan w:val="2"/>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w:t>
            </w:r>
          </w:p>
        </w:tc>
        <w:tc>
          <w:tcPr>
            <w:tcW w:w="1128" w:type="dxa"/>
            <w:noWrap w:val="0"/>
            <w:vAlign w:val="center"/>
          </w:tcPr>
          <w:p>
            <w:pPr>
              <w:keepNext w:val="0"/>
              <w:keepLines w:val="0"/>
              <w:widowControl/>
              <w:suppressLineNumbers w:val="0"/>
              <w:jc w:val="center"/>
              <w:textAlignment w:val="center"/>
              <w:rPr>
                <w:rFonts w:hint="default" w:ascii="仿宋_GB2312" w:hAnsi="宋体" w:eastAsia="仿宋_GB2312" w:cs="仿宋_GB2312"/>
                <w:i w:val="0"/>
                <w:color w:val="auto"/>
                <w:kern w:val="0"/>
                <w:sz w:val="18"/>
                <w:szCs w:val="18"/>
                <w:u w:val="none"/>
                <w:lang w:val="en-US" w:eastAsia="zh-CN" w:bidi="ar"/>
              </w:rPr>
            </w:pPr>
            <w:r>
              <w:rPr>
                <w:rFonts w:hint="eastAsia" w:ascii="仿宋_GB2312" w:hAnsi="仿宋_GB2312" w:eastAsia="仿宋_GB2312" w:cs="仿宋_GB2312"/>
                <w:color w:val="auto"/>
                <w:sz w:val="18"/>
                <w:szCs w:val="18"/>
                <w:lang w:val="en-US" w:eastAsia="zh-CN"/>
              </w:rPr>
              <w:t>/</w:t>
            </w:r>
          </w:p>
        </w:tc>
        <w:tc>
          <w:tcPr>
            <w:tcW w:w="1142" w:type="dxa"/>
            <w:gridSpan w:val="2"/>
            <w:noWrap w:val="0"/>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18"/>
                <w:szCs w:val="18"/>
                <w:u w:val="none"/>
                <w:lang w:val="en-US" w:eastAsia="zh-CN" w:bidi="ar"/>
              </w:rPr>
            </w:pPr>
            <w:r>
              <w:rPr>
                <w:rFonts w:hint="eastAsia" w:ascii="仿宋_GB2312" w:hAnsi="仿宋_GB2312" w:eastAsia="仿宋_GB2312" w:cs="仿宋_GB2312"/>
                <w:color w:val="auto"/>
                <w:sz w:val="18"/>
                <w:szCs w:val="18"/>
                <w:lang w:val="en-US" w:eastAsia="zh-CN"/>
              </w:rPr>
              <w:t>/</w:t>
            </w:r>
          </w:p>
        </w:tc>
        <w:tc>
          <w:tcPr>
            <w:tcW w:w="1455" w:type="dxa"/>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w:t>
            </w:r>
          </w:p>
        </w:tc>
        <w:tc>
          <w:tcPr>
            <w:tcW w:w="1177" w:type="dxa"/>
            <w:gridSpan w:val="2"/>
            <w:noWrap w:val="0"/>
            <w:vAlign w:val="center"/>
          </w:tcPr>
          <w:p>
            <w:pPr>
              <w:keepNext w:val="0"/>
              <w:keepLines w:val="0"/>
              <w:widowControl/>
              <w:suppressLineNumbers w:val="0"/>
              <w:jc w:val="center"/>
              <w:textAlignment w:val="center"/>
              <w:rPr>
                <w:rFonts w:hint="default" w:ascii="仿宋_GB2312" w:hAnsi="宋体" w:eastAsia="仿宋_GB2312" w:cs="仿宋_GB2312"/>
                <w:i w:val="0"/>
                <w:color w:val="auto"/>
                <w:kern w:val="0"/>
                <w:sz w:val="18"/>
                <w:szCs w:val="18"/>
                <w:u w:val="none"/>
                <w:lang w:val="en-US" w:eastAsia="zh-CN" w:bidi="ar"/>
              </w:rPr>
            </w:pPr>
            <w:r>
              <w:rPr>
                <w:rFonts w:hint="eastAsia" w:ascii="仿宋_GB2312" w:hAnsi="仿宋_GB2312" w:eastAsia="仿宋_GB2312" w:cs="仿宋_GB2312"/>
                <w:color w:val="auto"/>
                <w:sz w:val="18"/>
                <w:szCs w:val="18"/>
                <w:lang w:val="en-US" w:eastAsia="zh-CN"/>
              </w:rPr>
              <w:t>/</w:t>
            </w:r>
          </w:p>
        </w:tc>
        <w:tc>
          <w:tcPr>
            <w:tcW w:w="1241" w:type="dxa"/>
            <w:gridSpan w:val="2"/>
            <w:noWrap w:val="0"/>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18"/>
                <w:szCs w:val="18"/>
                <w:u w:val="none"/>
                <w:lang w:val="en-US" w:eastAsia="zh-CN" w:bidi="ar"/>
              </w:rPr>
            </w:pPr>
            <w:r>
              <w:rPr>
                <w:rFonts w:hint="eastAsia" w:ascii="仿宋_GB2312" w:hAnsi="仿宋_GB2312" w:eastAsia="仿宋_GB2312" w:cs="仿宋_GB2312"/>
                <w:color w:val="auto"/>
                <w:sz w:val="18"/>
                <w:szCs w:val="18"/>
                <w:lang w:val="en-US" w:eastAsia="zh-CN"/>
              </w:rPr>
              <w:t>/</w:t>
            </w:r>
          </w:p>
        </w:tc>
        <w:tc>
          <w:tcPr>
            <w:tcW w:w="1099" w:type="dxa"/>
            <w:gridSpan w:val="2"/>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w:t>
            </w:r>
          </w:p>
        </w:tc>
        <w:tc>
          <w:tcPr>
            <w:tcW w:w="789" w:type="dxa"/>
            <w:noWrap w:val="0"/>
            <w:vAlign w:val="center"/>
          </w:tcPr>
          <w:p>
            <w:pPr>
              <w:keepNext w:val="0"/>
              <w:keepLines w:val="0"/>
              <w:widowControl/>
              <w:suppressLineNumbers w:val="0"/>
              <w:jc w:val="center"/>
              <w:textAlignment w:val="center"/>
              <w:rPr>
                <w:rFonts w:hint="default" w:ascii="仿宋_GB2312" w:hAnsi="宋体" w:eastAsia="仿宋_GB2312" w:cs="仿宋_GB2312"/>
                <w:i w:val="0"/>
                <w:color w:val="auto"/>
                <w:kern w:val="0"/>
                <w:sz w:val="18"/>
                <w:szCs w:val="18"/>
                <w:u w:val="none"/>
                <w:lang w:val="en-US" w:eastAsia="zh-CN" w:bidi="ar"/>
              </w:rPr>
            </w:pPr>
            <w:r>
              <w:rPr>
                <w:rFonts w:hint="eastAsia" w:ascii="仿宋_GB2312" w:hAnsi="仿宋_GB2312" w:eastAsia="仿宋_GB2312" w:cs="仿宋_GB2312"/>
                <w:color w:val="auto"/>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596" w:type="dxa"/>
            <w:gridSpan w:val="2"/>
            <w:vMerge w:val="continue"/>
            <w:noWrap w:val="0"/>
            <w:vAlign w:val="center"/>
          </w:tcPr>
          <w:p>
            <w:pPr>
              <w:jc w:val="center"/>
              <w:rPr>
                <w:rFonts w:hint="eastAsia" w:ascii="仿宋_GB2312" w:hAnsi="仿宋_GB2312" w:eastAsia="仿宋_GB2312" w:cs="仿宋_GB2312"/>
                <w:b/>
                <w:bCs/>
                <w:color w:val="auto"/>
                <w:sz w:val="18"/>
                <w:szCs w:val="18"/>
              </w:rPr>
            </w:pPr>
          </w:p>
        </w:tc>
        <w:tc>
          <w:tcPr>
            <w:tcW w:w="1905" w:type="dxa"/>
            <w:gridSpan w:val="2"/>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二氧化硫</w:t>
            </w:r>
          </w:p>
        </w:tc>
        <w:tc>
          <w:tcPr>
            <w:tcW w:w="800" w:type="dxa"/>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w:t>
            </w:r>
          </w:p>
        </w:tc>
        <w:tc>
          <w:tcPr>
            <w:tcW w:w="1150" w:type="dxa"/>
            <w:noWrap w:val="0"/>
            <w:vAlign w:val="center"/>
          </w:tcPr>
          <w:p>
            <w:pPr>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1121" w:type="dxa"/>
            <w:gridSpan w:val="2"/>
            <w:noWrap w:val="0"/>
            <w:vAlign w:val="center"/>
          </w:tcPr>
          <w:p>
            <w:pPr>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1071" w:type="dxa"/>
            <w:noWrap w:val="0"/>
            <w:vAlign w:val="center"/>
          </w:tcPr>
          <w:p>
            <w:pPr>
              <w:jc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lang w:val="en-US" w:eastAsia="zh-CN"/>
              </w:rPr>
              <w:t>/</w:t>
            </w:r>
          </w:p>
        </w:tc>
        <w:tc>
          <w:tcPr>
            <w:tcW w:w="1144" w:type="dxa"/>
            <w:gridSpan w:val="2"/>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w:t>
            </w:r>
          </w:p>
        </w:tc>
        <w:tc>
          <w:tcPr>
            <w:tcW w:w="1128" w:type="dxa"/>
            <w:noWrap w:val="0"/>
            <w:vAlign w:val="center"/>
          </w:tcPr>
          <w:p>
            <w:pPr>
              <w:jc w:val="center"/>
              <w:rPr>
                <w:rFonts w:hint="default" w:ascii="仿宋_GB2312" w:hAnsi="仿宋_GB2312" w:eastAsia="仿宋_GB2312" w:cs="仿宋_GB2312"/>
                <w:color w:val="auto"/>
                <w:sz w:val="18"/>
                <w:szCs w:val="18"/>
                <w:highlight w:val="yellow"/>
                <w:lang w:val="en-US" w:eastAsia="zh-CN"/>
              </w:rPr>
            </w:pPr>
            <w:r>
              <w:rPr>
                <w:rFonts w:hint="eastAsia" w:ascii="仿宋_GB2312" w:hAnsi="仿宋_GB2312" w:eastAsia="仿宋_GB2312" w:cs="仿宋_GB2312"/>
                <w:color w:val="auto"/>
                <w:sz w:val="18"/>
                <w:szCs w:val="18"/>
                <w:lang w:val="en-US" w:eastAsia="zh-CN"/>
              </w:rPr>
              <w:t>/</w:t>
            </w:r>
          </w:p>
        </w:tc>
        <w:tc>
          <w:tcPr>
            <w:tcW w:w="1142" w:type="dxa"/>
            <w:gridSpan w:val="2"/>
            <w:noWrap w:val="0"/>
            <w:vAlign w:val="center"/>
          </w:tcPr>
          <w:p>
            <w:pPr>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1455" w:type="dxa"/>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w:t>
            </w:r>
          </w:p>
        </w:tc>
        <w:tc>
          <w:tcPr>
            <w:tcW w:w="1177" w:type="dxa"/>
            <w:gridSpan w:val="2"/>
            <w:noWrap w:val="0"/>
            <w:vAlign w:val="center"/>
          </w:tcPr>
          <w:p>
            <w:pPr>
              <w:jc w:val="center"/>
              <w:rPr>
                <w:rFonts w:hint="eastAsia" w:ascii="仿宋_GB2312" w:hAnsi="仿宋_GB2312" w:eastAsia="仿宋_GB2312" w:cs="仿宋_GB2312"/>
                <w:color w:val="auto"/>
                <w:kern w:val="2"/>
                <w:sz w:val="18"/>
                <w:szCs w:val="18"/>
                <w:highlight w:val="yellow"/>
                <w:lang w:val="en-US" w:eastAsia="zh-CN" w:bidi="ar-SA"/>
              </w:rPr>
            </w:pPr>
            <w:r>
              <w:rPr>
                <w:rFonts w:hint="eastAsia" w:ascii="仿宋_GB2312" w:hAnsi="仿宋_GB2312" w:eastAsia="仿宋_GB2312" w:cs="仿宋_GB2312"/>
                <w:color w:val="auto"/>
                <w:sz w:val="18"/>
                <w:szCs w:val="18"/>
                <w:lang w:val="en-US" w:eastAsia="zh-CN"/>
              </w:rPr>
              <w:t>/</w:t>
            </w:r>
          </w:p>
        </w:tc>
        <w:tc>
          <w:tcPr>
            <w:tcW w:w="1241" w:type="dxa"/>
            <w:gridSpan w:val="2"/>
            <w:noWrap w:val="0"/>
            <w:vAlign w:val="center"/>
          </w:tcPr>
          <w:p>
            <w:pPr>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sz w:val="18"/>
                <w:szCs w:val="18"/>
                <w:lang w:val="en-US" w:eastAsia="zh-CN"/>
              </w:rPr>
              <w:t>/</w:t>
            </w:r>
          </w:p>
        </w:tc>
        <w:tc>
          <w:tcPr>
            <w:tcW w:w="1099" w:type="dxa"/>
            <w:gridSpan w:val="2"/>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w:t>
            </w:r>
          </w:p>
        </w:tc>
        <w:tc>
          <w:tcPr>
            <w:tcW w:w="789" w:type="dxa"/>
            <w:noWrap w:val="0"/>
            <w:vAlign w:val="center"/>
          </w:tcPr>
          <w:p>
            <w:pPr>
              <w:jc w:val="center"/>
              <w:rPr>
                <w:rFonts w:hint="eastAsia" w:ascii="仿宋_GB2312" w:hAnsi="仿宋_GB2312" w:eastAsia="仿宋_GB2312" w:cs="仿宋_GB2312"/>
                <w:color w:val="auto"/>
                <w:kern w:val="2"/>
                <w:sz w:val="18"/>
                <w:szCs w:val="18"/>
                <w:highlight w:val="yellow"/>
                <w:lang w:val="en-US" w:eastAsia="zh-CN" w:bidi="ar-SA"/>
              </w:rPr>
            </w:pPr>
            <w:r>
              <w:rPr>
                <w:rFonts w:hint="eastAsia" w:ascii="仿宋_GB2312" w:hAnsi="仿宋_GB2312" w:eastAsia="仿宋_GB2312" w:cs="仿宋_GB2312"/>
                <w:color w:val="auto"/>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596" w:type="dxa"/>
            <w:gridSpan w:val="2"/>
            <w:vMerge w:val="continue"/>
            <w:noWrap w:val="0"/>
            <w:vAlign w:val="center"/>
          </w:tcPr>
          <w:p>
            <w:pPr>
              <w:jc w:val="center"/>
              <w:rPr>
                <w:rFonts w:hint="eastAsia" w:ascii="仿宋_GB2312" w:hAnsi="仿宋_GB2312" w:eastAsia="仿宋_GB2312" w:cs="仿宋_GB2312"/>
                <w:b/>
                <w:bCs/>
                <w:color w:val="auto"/>
                <w:sz w:val="18"/>
                <w:szCs w:val="18"/>
              </w:rPr>
            </w:pPr>
          </w:p>
        </w:tc>
        <w:tc>
          <w:tcPr>
            <w:tcW w:w="1905" w:type="dxa"/>
            <w:gridSpan w:val="2"/>
            <w:noWrap w:val="0"/>
            <w:vAlign w:val="center"/>
          </w:tcPr>
          <w:p>
            <w:pPr>
              <w:jc w:val="center"/>
              <w:rPr>
                <w:rFonts w:hint="eastAsia" w:ascii="仿宋_GB2312" w:hAnsi="仿宋_GB2312" w:eastAsia="仿宋_GB2312" w:cs="仿宋_GB2312"/>
                <w:b/>
                <w:bCs/>
                <w:color w:val="auto"/>
                <w:sz w:val="18"/>
                <w:szCs w:val="18"/>
                <w:lang w:eastAsia="zh-CN"/>
              </w:rPr>
            </w:pPr>
            <w:r>
              <w:rPr>
                <w:rFonts w:hint="eastAsia" w:ascii="仿宋_GB2312" w:hAnsi="仿宋_GB2312" w:eastAsia="仿宋_GB2312" w:cs="仿宋_GB2312"/>
                <w:b/>
                <w:bCs/>
                <w:color w:val="auto"/>
                <w:sz w:val="18"/>
                <w:szCs w:val="18"/>
                <w:lang w:eastAsia="zh-CN"/>
              </w:rPr>
              <w:t>颗粒物</w:t>
            </w:r>
          </w:p>
        </w:tc>
        <w:tc>
          <w:tcPr>
            <w:tcW w:w="800" w:type="dxa"/>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w:t>
            </w:r>
          </w:p>
        </w:tc>
        <w:tc>
          <w:tcPr>
            <w:tcW w:w="1150" w:type="dxa"/>
            <w:noWrap w:val="0"/>
            <w:vAlign w:val="center"/>
          </w:tcPr>
          <w:p>
            <w:pPr>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1121" w:type="dxa"/>
            <w:gridSpan w:val="2"/>
            <w:noWrap w:val="0"/>
            <w:vAlign w:val="center"/>
          </w:tcPr>
          <w:p>
            <w:pPr>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1071" w:type="dxa"/>
            <w:noWrap w:val="0"/>
            <w:vAlign w:val="center"/>
          </w:tcPr>
          <w:p>
            <w:pPr>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1144" w:type="dxa"/>
            <w:gridSpan w:val="2"/>
            <w:noWrap w:val="0"/>
            <w:vAlign w:val="center"/>
          </w:tcPr>
          <w:p>
            <w:pPr>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1128" w:type="dxa"/>
            <w:noWrap w:val="0"/>
            <w:vAlign w:val="center"/>
          </w:tcPr>
          <w:p>
            <w:pPr>
              <w:keepNext w:val="0"/>
              <w:keepLines w:val="0"/>
              <w:widowControl/>
              <w:suppressLineNumbers w:val="0"/>
              <w:jc w:val="center"/>
              <w:textAlignment w:val="center"/>
              <w:rPr>
                <w:rFonts w:hint="default" w:ascii="仿宋_GB2312" w:hAnsi="宋体" w:eastAsia="仿宋_GB2312" w:cs="仿宋_GB2312"/>
                <w:i w:val="0"/>
                <w:color w:val="auto"/>
                <w:kern w:val="0"/>
                <w:sz w:val="18"/>
                <w:szCs w:val="18"/>
                <w:u w:val="none"/>
                <w:lang w:val="en-US" w:eastAsia="zh-CN" w:bidi="ar"/>
              </w:rPr>
            </w:pPr>
            <w:r>
              <w:rPr>
                <w:rFonts w:hint="eastAsia" w:ascii="仿宋_GB2312" w:hAnsi="仿宋_GB2312" w:eastAsia="仿宋_GB2312" w:cs="仿宋_GB2312"/>
                <w:color w:val="auto"/>
                <w:sz w:val="18"/>
                <w:szCs w:val="18"/>
                <w:lang w:val="en-US" w:eastAsia="zh-CN"/>
              </w:rPr>
              <w:t>/</w:t>
            </w:r>
          </w:p>
        </w:tc>
        <w:tc>
          <w:tcPr>
            <w:tcW w:w="1142" w:type="dxa"/>
            <w:gridSpan w:val="2"/>
            <w:noWrap w:val="0"/>
            <w:vAlign w:val="center"/>
          </w:tcPr>
          <w:p>
            <w:pPr>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1455" w:type="dxa"/>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w:t>
            </w:r>
          </w:p>
        </w:tc>
        <w:tc>
          <w:tcPr>
            <w:tcW w:w="1177" w:type="dxa"/>
            <w:gridSpan w:val="2"/>
            <w:noWrap w:val="0"/>
            <w:vAlign w:val="center"/>
          </w:tcPr>
          <w:p>
            <w:pPr>
              <w:keepNext w:val="0"/>
              <w:keepLines w:val="0"/>
              <w:widowControl/>
              <w:suppressLineNumbers w:val="0"/>
              <w:jc w:val="center"/>
              <w:textAlignment w:val="center"/>
              <w:rPr>
                <w:rFonts w:hint="default" w:ascii="仿宋_GB2312" w:hAnsi="宋体" w:eastAsia="仿宋_GB2312" w:cs="仿宋_GB2312"/>
                <w:i w:val="0"/>
                <w:color w:val="auto"/>
                <w:kern w:val="0"/>
                <w:sz w:val="18"/>
                <w:szCs w:val="18"/>
                <w:u w:val="none"/>
                <w:lang w:val="en-US" w:eastAsia="zh-CN" w:bidi="ar"/>
              </w:rPr>
            </w:pPr>
            <w:r>
              <w:rPr>
                <w:rFonts w:hint="eastAsia" w:ascii="仿宋_GB2312" w:hAnsi="仿宋_GB2312" w:eastAsia="仿宋_GB2312" w:cs="仿宋_GB2312"/>
                <w:color w:val="auto"/>
                <w:sz w:val="18"/>
                <w:szCs w:val="18"/>
                <w:lang w:val="en-US" w:eastAsia="zh-CN"/>
              </w:rPr>
              <w:t>/</w:t>
            </w:r>
          </w:p>
        </w:tc>
        <w:tc>
          <w:tcPr>
            <w:tcW w:w="1241" w:type="dxa"/>
            <w:gridSpan w:val="2"/>
            <w:noWrap w:val="0"/>
            <w:vAlign w:val="center"/>
          </w:tcPr>
          <w:p>
            <w:pPr>
              <w:jc w:val="center"/>
              <w:rPr>
                <w:rFonts w:hint="default"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sz w:val="18"/>
                <w:szCs w:val="18"/>
                <w:lang w:val="en-US" w:eastAsia="zh-CN"/>
              </w:rPr>
              <w:t>/</w:t>
            </w:r>
          </w:p>
        </w:tc>
        <w:tc>
          <w:tcPr>
            <w:tcW w:w="1099" w:type="dxa"/>
            <w:gridSpan w:val="2"/>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w:t>
            </w:r>
          </w:p>
        </w:tc>
        <w:tc>
          <w:tcPr>
            <w:tcW w:w="789" w:type="dxa"/>
            <w:noWrap w:val="0"/>
            <w:vAlign w:val="center"/>
          </w:tcPr>
          <w:p>
            <w:pPr>
              <w:keepNext w:val="0"/>
              <w:keepLines w:val="0"/>
              <w:widowControl/>
              <w:suppressLineNumbers w:val="0"/>
              <w:jc w:val="center"/>
              <w:textAlignment w:val="center"/>
              <w:rPr>
                <w:rFonts w:hint="default" w:ascii="仿宋_GB2312" w:hAnsi="宋体" w:eastAsia="仿宋_GB2312" w:cs="仿宋_GB2312"/>
                <w:i w:val="0"/>
                <w:color w:val="auto"/>
                <w:kern w:val="0"/>
                <w:sz w:val="18"/>
                <w:szCs w:val="18"/>
                <w:u w:val="none"/>
                <w:lang w:val="en-US" w:eastAsia="zh-CN" w:bidi="ar"/>
              </w:rPr>
            </w:pPr>
            <w:r>
              <w:rPr>
                <w:rFonts w:hint="eastAsia" w:ascii="仿宋_GB2312" w:hAnsi="仿宋_GB2312" w:eastAsia="仿宋_GB2312" w:cs="仿宋_GB2312"/>
                <w:color w:val="auto"/>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596" w:type="dxa"/>
            <w:gridSpan w:val="2"/>
            <w:vMerge w:val="continue"/>
            <w:noWrap w:val="0"/>
            <w:vAlign w:val="center"/>
          </w:tcPr>
          <w:p>
            <w:pPr>
              <w:jc w:val="center"/>
              <w:rPr>
                <w:rFonts w:hint="eastAsia" w:ascii="仿宋_GB2312" w:hAnsi="仿宋_GB2312" w:eastAsia="仿宋_GB2312" w:cs="仿宋_GB2312"/>
                <w:b/>
                <w:bCs/>
                <w:color w:val="auto"/>
                <w:sz w:val="18"/>
                <w:szCs w:val="18"/>
              </w:rPr>
            </w:pPr>
          </w:p>
        </w:tc>
        <w:tc>
          <w:tcPr>
            <w:tcW w:w="1905" w:type="dxa"/>
            <w:gridSpan w:val="2"/>
            <w:noWrap w:val="0"/>
            <w:vAlign w:val="center"/>
          </w:tcPr>
          <w:p>
            <w:pPr>
              <w:jc w:val="center"/>
              <w:rPr>
                <w:rFonts w:hint="eastAsia" w:ascii="仿宋_GB2312" w:hAnsi="仿宋_GB2312" w:eastAsia="仿宋_GB2312" w:cs="仿宋_GB2312"/>
                <w:b/>
                <w:bCs/>
                <w:color w:val="auto"/>
                <w:sz w:val="18"/>
                <w:szCs w:val="18"/>
                <w:lang w:eastAsia="zh-CN"/>
              </w:rPr>
            </w:pPr>
            <w:r>
              <w:rPr>
                <w:rFonts w:hint="eastAsia" w:ascii="仿宋_GB2312" w:hAnsi="仿宋_GB2312" w:eastAsia="仿宋_GB2312" w:cs="仿宋_GB2312"/>
                <w:b/>
                <w:bCs/>
                <w:color w:val="auto"/>
                <w:sz w:val="18"/>
                <w:szCs w:val="18"/>
                <w:lang w:eastAsia="zh-CN"/>
              </w:rPr>
              <w:t>氮氧化物</w:t>
            </w:r>
          </w:p>
        </w:tc>
        <w:tc>
          <w:tcPr>
            <w:tcW w:w="800" w:type="dxa"/>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w:t>
            </w:r>
          </w:p>
        </w:tc>
        <w:tc>
          <w:tcPr>
            <w:tcW w:w="1150" w:type="dxa"/>
            <w:noWrap w:val="0"/>
            <w:vAlign w:val="center"/>
          </w:tcPr>
          <w:p>
            <w:pPr>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1121" w:type="dxa"/>
            <w:gridSpan w:val="2"/>
            <w:noWrap w:val="0"/>
            <w:vAlign w:val="center"/>
          </w:tcPr>
          <w:p>
            <w:pPr>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1071" w:type="dxa"/>
            <w:noWrap w:val="0"/>
            <w:vAlign w:val="center"/>
          </w:tcPr>
          <w:p>
            <w:pPr>
              <w:jc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lang w:val="en-US" w:eastAsia="zh-CN"/>
              </w:rPr>
              <w:t>/</w:t>
            </w:r>
          </w:p>
        </w:tc>
        <w:tc>
          <w:tcPr>
            <w:tcW w:w="1144" w:type="dxa"/>
            <w:gridSpan w:val="2"/>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w:t>
            </w:r>
          </w:p>
        </w:tc>
        <w:tc>
          <w:tcPr>
            <w:tcW w:w="1128" w:type="dxa"/>
            <w:noWrap w:val="0"/>
            <w:vAlign w:val="center"/>
          </w:tcPr>
          <w:p>
            <w:pPr>
              <w:jc w:val="center"/>
              <w:rPr>
                <w:rFonts w:hint="default"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sz w:val="18"/>
                <w:szCs w:val="18"/>
                <w:lang w:val="en-US" w:eastAsia="zh-CN"/>
              </w:rPr>
              <w:t>/</w:t>
            </w:r>
          </w:p>
        </w:tc>
        <w:tc>
          <w:tcPr>
            <w:tcW w:w="1142" w:type="dxa"/>
            <w:gridSpan w:val="2"/>
            <w:noWrap w:val="0"/>
            <w:vAlign w:val="center"/>
          </w:tcPr>
          <w:p>
            <w:pPr>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1455" w:type="dxa"/>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w:t>
            </w:r>
          </w:p>
        </w:tc>
        <w:tc>
          <w:tcPr>
            <w:tcW w:w="1177" w:type="dxa"/>
            <w:gridSpan w:val="2"/>
            <w:noWrap w:val="0"/>
            <w:vAlign w:val="center"/>
          </w:tcPr>
          <w:p>
            <w:pPr>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1241" w:type="dxa"/>
            <w:gridSpan w:val="2"/>
            <w:noWrap w:val="0"/>
            <w:vAlign w:val="center"/>
          </w:tcPr>
          <w:p>
            <w:pPr>
              <w:jc w:val="center"/>
              <w:rPr>
                <w:rFonts w:hint="default" w:ascii="仿宋_GB2312" w:hAnsi="仿宋_GB2312" w:eastAsia="仿宋_GB2312" w:cs="仿宋_GB2312"/>
                <w:color w:val="auto"/>
                <w:sz w:val="18"/>
                <w:szCs w:val="18"/>
                <w:lang w:val="en-US" w:eastAsia="zh-CN"/>
              </w:rPr>
            </w:pPr>
          </w:p>
        </w:tc>
        <w:tc>
          <w:tcPr>
            <w:tcW w:w="1099" w:type="dxa"/>
            <w:gridSpan w:val="2"/>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w:t>
            </w:r>
          </w:p>
        </w:tc>
        <w:tc>
          <w:tcPr>
            <w:tcW w:w="789" w:type="dxa"/>
            <w:noWrap w:val="0"/>
            <w:vAlign w:val="center"/>
          </w:tcPr>
          <w:p>
            <w:pPr>
              <w:jc w:val="center"/>
              <w:rPr>
                <w:rFonts w:hint="default"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596" w:type="dxa"/>
            <w:gridSpan w:val="2"/>
            <w:vMerge w:val="continue"/>
            <w:noWrap w:val="0"/>
            <w:vAlign w:val="center"/>
          </w:tcPr>
          <w:p>
            <w:pPr>
              <w:jc w:val="center"/>
              <w:rPr>
                <w:rFonts w:hint="eastAsia" w:ascii="仿宋_GB2312" w:hAnsi="仿宋_GB2312" w:eastAsia="仿宋_GB2312" w:cs="仿宋_GB2312"/>
                <w:b/>
                <w:bCs/>
                <w:color w:val="auto"/>
                <w:sz w:val="18"/>
                <w:szCs w:val="18"/>
              </w:rPr>
            </w:pPr>
          </w:p>
        </w:tc>
        <w:tc>
          <w:tcPr>
            <w:tcW w:w="1905" w:type="dxa"/>
            <w:gridSpan w:val="2"/>
            <w:noWrap w:val="0"/>
            <w:vAlign w:val="center"/>
          </w:tcPr>
          <w:p>
            <w:pPr>
              <w:jc w:val="center"/>
              <w:rPr>
                <w:rFonts w:hint="eastAsia" w:ascii="仿宋_GB2312" w:hAnsi="仿宋_GB2312" w:eastAsia="仿宋_GB2312" w:cs="仿宋_GB2312"/>
                <w:b/>
                <w:bCs/>
                <w:color w:val="auto"/>
                <w:sz w:val="18"/>
                <w:szCs w:val="18"/>
              </w:rPr>
            </w:pPr>
            <w:r>
              <w:rPr>
                <w:rFonts w:hint="eastAsia" w:ascii="仿宋_GB2312" w:hAnsi="仿宋_GB2312" w:eastAsia="仿宋_GB2312" w:cs="仿宋_GB2312"/>
                <w:b/>
                <w:bCs/>
                <w:color w:val="auto"/>
                <w:sz w:val="18"/>
                <w:szCs w:val="18"/>
              </w:rPr>
              <w:t>工业固体废物</w:t>
            </w:r>
          </w:p>
        </w:tc>
        <w:tc>
          <w:tcPr>
            <w:tcW w:w="800" w:type="dxa"/>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w:t>
            </w:r>
          </w:p>
        </w:tc>
        <w:tc>
          <w:tcPr>
            <w:tcW w:w="1150" w:type="dxa"/>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w:t>
            </w:r>
          </w:p>
        </w:tc>
        <w:tc>
          <w:tcPr>
            <w:tcW w:w="1121" w:type="dxa"/>
            <w:gridSpan w:val="2"/>
            <w:noWrap w:val="0"/>
            <w:vAlign w:val="center"/>
          </w:tcPr>
          <w:p>
            <w:pPr>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1071" w:type="dxa"/>
            <w:noWrap w:val="0"/>
            <w:vAlign w:val="center"/>
          </w:tcPr>
          <w:p>
            <w:pPr>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1144" w:type="dxa"/>
            <w:gridSpan w:val="2"/>
            <w:noWrap w:val="0"/>
            <w:vAlign w:val="center"/>
          </w:tcPr>
          <w:p>
            <w:pPr>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1128" w:type="dxa"/>
            <w:noWrap w:val="0"/>
            <w:vAlign w:val="center"/>
          </w:tcPr>
          <w:p>
            <w:pPr>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1142" w:type="dxa"/>
            <w:gridSpan w:val="2"/>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w:t>
            </w:r>
          </w:p>
        </w:tc>
        <w:tc>
          <w:tcPr>
            <w:tcW w:w="1455" w:type="dxa"/>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w:t>
            </w:r>
          </w:p>
        </w:tc>
        <w:tc>
          <w:tcPr>
            <w:tcW w:w="1177" w:type="dxa"/>
            <w:gridSpan w:val="2"/>
            <w:noWrap w:val="0"/>
            <w:vAlign w:val="center"/>
          </w:tcPr>
          <w:p>
            <w:pPr>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1241" w:type="dxa"/>
            <w:gridSpan w:val="2"/>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w:t>
            </w:r>
          </w:p>
        </w:tc>
        <w:tc>
          <w:tcPr>
            <w:tcW w:w="1099" w:type="dxa"/>
            <w:gridSpan w:val="2"/>
            <w:noWrap w:val="0"/>
            <w:vAlign w:val="center"/>
          </w:tcPr>
          <w:p>
            <w:pPr>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789" w:type="dxa"/>
            <w:noWrap w:val="0"/>
            <w:vAlign w:val="center"/>
          </w:tcPr>
          <w:p>
            <w:pPr>
              <w:jc w:val="center"/>
              <w:rPr>
                <w:rFonts w:hint="default"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kern w:val="2"/>
                <w:sz w:val="18"/>
                <w:szCs w:val="18"/>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596" w:type="dxa"/>
            <w:gridSpan w:val="2"/>
            <w:vMerge w:val="continue"/>
            <w:noWrap w:val="0"/>
            <w:vAlign w:val="center"/>
          </w:tcPr>
          <w:p>
            <w:pPr>
              <w:jc w:val="center"/>
              <w:rPr>
                <w:rFonts w:hint="eastAsia" w:ascii="仿宋_GB2312" w:hAnsi="仿宋_GB2312" w:eastAsia="仿宋_GB2312" w:cs="仿宋_GB2312"/>
                <w:b/>
                <w:bCs/>
                <w:color w:val="auto"/>
                <w:sz w:val="18"/>
                <w:szCs w:val="18"/>
              </w:rPr>
            </w:pPr>
          </w:p>
        </w:tc>
        <w:tc>
          <w:tcPr>
            <w:tcW w:w="957" w:type="dxa"/>
            <w:noWrap w:val="0"/>
            <w:vAlign w:val="center"/>
          </w:tcPr>
          <w:p>
            <w:pPr>
              <w:jc w:val="center"/>
              <w:rPr>
                <w:rFonts w:hint="default" w:ascii="仿宋_GB2312" w:hAnsi="仿宋_GB2312" w:eastAsia="仿宋_GB2312" w:cs="仿宋_GB2312"/>
                <w:b/>
                <w:bCs/>
                <w:color w:val="auto"/>
                <w:sz w:val="18"/>
                <w:szCs w:val="18"/>
                <w:lang w:val="en-US" w:eastAsia="zh-CN"/>
              </w:rPr>
            </w:pPr>
            <w:r>
              <w:rPr>
                <w:rFonts w:hint="eastAsia" w:ascii="仿宋_GB2312" w:hAnsi="仿宋_GB2312" w:eastAsia="仿宋_GB2312" w:cs="仿宋_GB2312"/>
                <w:b/>
                <w:bCs/>
                <w:color w:val="auto"/>
                <w:sz w:val="18"/>
                <w:szCs w:val="18"/>
                <w:lang w:val="en-US" w:eastAsia="zh-CN"/>
              </w:rPr>
              <w:t>其他污染物</w:t>
            </w:r>
          </w:p>
        </w:tc>
        <w:tc>
          <w:tcPr>
            <w:tcW w:w="948" w:type="dxa"/>
            <w:noWrap w:val="0"/>
            <w:vAlign w:val="center"/>
          </w:tcPr>
          <w:p>
            <w:pPr>
              <w:jc w:val="center"/>
              <w:rPr>
                <w:rFonts w:hint="eastAsia" w:ascii="仿宋_GB2312" w:hAnsi="仿宋_GB2312" w:eastAsia="仿宋_GB2312" w:cs="仿宋_GB2312"/>
                <w:b/>
                <w:bCs/>
                <w:color w:val="auto"/>
                <w:sz w:val="18"/>
                <w:szCs w:val="18"/>
                <w:lang w:val="en-US" w:eastAsia="zh-CN"/>
              </w:rPr>
            </w:pPr>
            <w:r>
              <w:rPr>
                <w:rFonts w:hint="eastAsia" w:ascii="仿宋_GB2312" w:hAnsi="仿宋_GB2312" w:eastAsia="仿宋_GB2312" w:cs="仿宋_GB2312"/>
                <w:b/>
                <w:bCs/>
                <w:color w:val="auto"/>
                <w:sz w:val="18"/>
                <w:szCs w:val="18"/>
                <w:lang w:val="en-US" w:eastAsia="zh-CN"/>
              </w:rPr>
              <w:t>非甲烷总烃</w:t>
            </w:r>
          </w:p>
        </w:tc>
        <w:tc>
          <w:tcPr>
            <w:tcW w:w="800" w:type="dxa"/>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w:t>
            </w:r>
          </w:p>
        </w:tc>
        <w:tc>
          <w:tcPr>
            <w:tcW w:w="1150" w:type="dxa"/>
            <w:noWrap w:val="0"/>
            <w:vAlign w:val="center"/>
          </w:tcPr>
          <w:p>
            <w:pPr>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1121" w:type="dxa"/>
            <w:gridSpan w:val="2"/>
            <w:noWrap w:val="0"/>
            <w:vAlign w:val="center"/>
          </w:tcPr>
          <w:p>
            <w:pPr>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1071" w:type="dxa"/>
            <w:noWrap w:val="0"/>
            <w:vAlign w:val="center"/>
          </w:tcPr>
          <w:p>
            <w:pPr>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1144" w:type="dxa"/>
            <w:gridSpan w:val="2"/>
            <w:noWrap w:val="0"/>
            <w:vAlign w:val="center"/>
          </w:tcPr>
          <w:p>
            <w:pPr>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1128" w:type="dxa"/>
            <w:noWrap w:val="0"/>
            <w:vAlign w:val="center"/>
          </w:tcPr>
          <w:p>
            <w:pPr>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1142" w:type="dxa"/>
            <w:gridSpan w:val="2"/>
            <w:noWrap w:val="0"/>
            <w:vAlign w:val="center"/>
          </w:tcPr>
          <w:p>
            <w:pPr>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1455" w:type="dxa"/>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w:t>
            </w:r>
          </w:p>
        </w:tc>
        <w:tc>
          <w:tcPr>
            <w:tcW w:w="1177" w:type="dxa"/>
            <w:gridSpan w:val="2"/>
            <w:noWrap w:val="0"/>
            <w:vAlign w:val="center"/>
          </w:tcPr>
          <w:p>
            <w:pPr>
              <w:keepNext w:val="0"/>
              <w:keepLines w:val="0"/>
              <w:widowControl/>
              <w:suppressLineNumbers w:val="0"/>
              <w:jc w:val="center"/>
              <w:textAlignment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rPr>
              <w:t>/</w:t>
            </w:r>
          </w:p>
        </w:tc>
        <w:tc>
          <w:tcPr>
            <w:tcW w:w="1241" w:type="dxa"/>
            <w:gridSpan w:val="2"/>
            <w:noWrap w:val="0"/>
            <w:vAlign w:val="center"/>
          </w:tcPr>
          <w:p>
            <w:pPr>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rPr>
              <w:t>/</w:t>
            </w:r>
          </w:p>
        </w:tc>
        <w:tc>
          <w:tcPr>
            <w:tcW w:w="1099" w:type="dxa"/>
            <w:gridSpan w:val="2"/>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w:t>
            </w:r>
          </w:p>
        </w:tc>
        <w:tc>
          <w:tcPr>
            <w:tcW w:w="789" w:type="dxa"/>
            <w:noWrap w:val="0"/>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w:t>
            </w:r>
          </w:p>
        </w:tc>
      </w:tr>
    </w:tbl>
    <w:p>
      <w:pPr>
        <w:spacing w:line="200" w:lineRule="exact"/>
        <w:rPr>
          <w:rFonts w:hint="eastAsia" w:ascii="仿宋_GB2312" w:hAnsi="仿宋_GB2312" w:eastAsia="仿宋_GB2312" w:cs="仿宋_GB2312"/>
          <w:b/>
          <w:color w:val="auto"/>
          <w:kern w:val="44"/>
          <w:sz w:val="28"/>
          <w:szCs w:val="28"/>
        </w:rPr>
      </w:pPr>
      <w:r>
        <w:rPr>
          <w:rFonts w:hint="eastAsia" w:ascii="仿宋_GB2312" w:hAnsi="仿宋_GB2312" w:eastAsia="仿宋_GB2312" w:cs="仿宋_GB2312"/>
          <w:color w:val="auto"/>
          <w:sz w:val="18"/>
          <w:szCs w:val="18"/>
        </w:rPr>
        <w:t>1、排放增减量：（+）表示增加，（-）表示减少    2、⑿＝⑹－⑻－⑾，⑼＝⑷－⑸－⑻－⑾＋⑴   3、计量单位：废水排放量——</w:t>
      </w:r>
      <w:r>
        <w:rPr>
          <w:rFonts w:hint="eastAsia" w:ascii="仿宋_GB2312" w:hAnsi="仿宋_GB2312" w:eastAsia="仿宋_GB2312" w:cs="仿宋_GB2312"/>
          <w:color w:val="auto"/>
          <w:sz w:val="18"/>
          <w:szCs w:val="18"/>
          <w:lang w:eastAsia="zh-CN"/>
        </w:rPr>
        <w:t>万</w:t>
      </w:r>
      <w:r>
        <w:rPr>
          <w:rFonts w:hint="eastAsia" w:ascii="仿宋_GB2312" w:hAnsi="仿宋_GB2312" w:eastAsia="仿宋_GB2312" w:cs="仿宋_GB2312"/>
          <w:color w:val="auto"/>
          <w:sz w:val="18"/>
          <w:szCs w:val="18"/>
        </w:rPr>
        <w:t>吨/年；废气排放量——</w:t>
      </w:r>
      <w:r>
        <w:rPr>
          <w:rFonts w:hint="eastAsia" w:ascii="仿宋_GB2312" w:hAnsi="仿宋_GB2312" w:eastAsia="仿宋_GB2312" w:cs="仿宋_GB2312"/>
          <w:color w:val="auto"/>
          <w:sz w:val="18"/>
          <w:szCs w:val="18"/>
          <w:lang w:eastAsia="zh-CN"/>
        </w:rPr>
        <w:t>万立方米</w:t>
      </w:r>
      <w:r>
        <w:rPr>
          <w:rFonts w:hint="eastAsia" w:ascii="仿宋_GB2312" w:hAnsi="仿宋_GB2312" w:eastAsia="仿宋_GB2312" w:cs="仿宋_GB2312"/>
          <w:color w:val="auto"/>
          <w:sz w:val="18"/>
          <w:szCs w:val="18"/>
        </w:rPr>
        <w:t>/年；工业固体废物排放量——万吨/年； 水污染物排放浓度——毫克/升；大气污染物排放浓度——毫克/立方米；水污染物排放量——吨/年；大气污染物排放量——吨/年</w:t>
      </w:r>
    </w:p>
    <w:p>
      <w:pPr>
        <w:adjustRightInd w:val="0"/>
        <w:snapToGrid w:val="0"/>
        <w:spacing w:line="360" w:lineRule="auto"/>
        <w:jc w:val="left"/>
        <w:rPr>
          <w:color w:val="auto"/>
          <w:sz w:val="24"/>
        </w:rPr>
        <w:sectPr>
          <w:headerReference r:id="rId13" w:type="default"/>
          <w:footerReference r:id="rId14" w:type="default"/>
          <w:pgSz w:w="16840" w:h="11907" w:orient="landscape"/>
          <w:pgMar w:top="1418" w:right="1418" w:bottom="1418" w:left="1418" w:header="851" w:footer="992" w:gutter="0"/>
          <w:pgBorders>
            <w:top w:val="none" w:sz="0" w:space="0"/>
            <w:left w:val="none" w:sz="0" w:space="0"/>
            <w:bottom w:val="none" w:sz="0" w:space="0"/>
            <w:right w:val="none" w:sz="0" w:space="0"/>
          </w:pgBorders>
          <w:pgNumType w:fmt="numberInDash"/>
          <w:cols w:space="720" w:num="1"/>
          <w:docGrid w:linePitch="317" w:charSpace="0"/>
        </w:sectPr>
      </w:pPr>
    </w:p>
    <w:p>
      <w:pPr>
        <w:jc w:val="left"/>
        <w:rPr>
          <w:rFonts w:hint="eastAsia" w:ascii="仿宋_GB2312" w:hAnsi="仿宋_GB2312" w:eastAsia="仿宋_GB2312" w:cs="仿宋_GB2312"/>
          <w:b/>
          <w:bCs/>
          <w:color w:val="auto"/>
          <w:sz w:val="24"/>
          <w:szCs w:val="24"/>
          <w:lang w:val="en-US" w:eastAsia="zh-CN"/>
        </w:rPr>
      </w:pPr>
      <w:r>
        <w:rPr>
          <w:rFonts w:hint="eastAsia" w:ascii="仿宋_GB2312" w:hAnsi="仿宋_GB2312" w:eastAsia="仿宋_GB2312" w:cs="仿宋_GB2312"/>
          <w:b/>
          <w:bCs/>
          <w:color w:val="auto"/>
          <w:sz w:val="24"/>
          <w:szCs w:val="24"/>
          <w:lang w:val="en-US" w:eastAsia="zh-CN"/>
        </w:rPr>
        <w:t>附图1：项目所在位置</w:t>
      </w: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textAlignment w:val="auto"/>
        <w:rPr>
          <w:rFonts w:hint="default"/>
          <w:lang w:val="en-US" w:eastAsia="zh-CN"/>
        </w:rPr>
        <w:sectPr>
          <w:footerReference r:id="rId15" w:type="default"/>
          <w:pgSz w:w="16838" w:h="11906" w:orient="landscape"/>
          <w:pgMar w:top="1440" w:right="1440" w:bottom="1440" w:left="1440" w:header="851" w:footer="992" w:gutter="0"/>
          <w:pgBorders>
            <w:top w:val="none" w:sz="0" w:space="0"/>
            <w:left w:val="none" w:sz="0" w:space="0"/>
            <w:bottom w:val="none" w:sz="0" w:space="0"/>
            <w:right w:val="none" w:sz="0" w:space="0"/>
          </w:pgBorders>
          <w:pgNumType w:fmt="numberInDash"/>
          <w:cols w:space="720" w:num="1"/>
          <w:docGrid w:type="lines" w:linePitch="312" w:charSpace="0"/>
        </w:sectPr>
      </w:pPr>
      <w:r>
        <w:rPr>
          <w:rFonts w:ascii="宋体" w:hAnsi="宋体" w:cs="宋体"/>
          <w:b/>
          <w:kern w:val="0"/>
          <w:sz w:val="24"/>
        </w:rPr>
        <w:drawing>
          <wp:anchor distT="0" distB="0" distL="114300" distR="114300" simplePos="0" relativeHeight="251666432" behindDoc="0" locked="0" layoutInCell="1" allowOverlap="1">
            <wp:simplePos x="0" y="0"/>
            <wp:positionH relativeFrom="column">
              <wp:posOffset>8127365</wp:posOffset>
            </wp:positionH>
            <wp:positionV relativeFrom="paragraph">
              <wp:posOffset>5715</wp:posOffset>
            </wp:positionV>
            <wp:extent cx="744855" cy="781685"/>
            <wp:effectExtent l="0" t="0" r="17145" b="18415"/>
            <wp:wrapNone/>
            <wp:docPr id="56" name="图片 93" descr="1542340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3" descr="1542340587(1)"/>
                    <pic:cNvPicPr>
                      <a:picLocks noChangeAspect="1"/>
                    </pic:cNvPicPr>
                  </pic:nvPicPr>
                  <pic:blipFill>
                    <a:blip r:embed="rId22"/>
                    <a:stretch>
                      <a:fillRect/>
                    </a:stretch>
                  </pic:blipFill>
                  <pic:spPr>
                    <a:xfrm>
                      <a:off x="0" y="0"/>
                      <a:ext cx="744855" cy="781685"/>
                    </a:xfrm>
                    <a:prstGeom prst="rect">
                      <a:avLst/>
                    </a:prstGeom>
                    <a:noFill/>
                    <a:ln>
                      <a:noFill/>
                    </a:ln>
                  </pic:spPr>
                </pic:pic>
              </a:graphicData>
            </a:graphic>
          </wp:anchor>
        </w:drawing>
      </w:r>
      <w:r>
        <w:rPr>
          <w:rFonts w:hint="default"/>
          <w:lang w:val="en-US" w:eastAsia="zh-CN"/>
        </w:rPr>
        <w:drawing>
          <wp:inline distT="0" distB="0" distL="114300" distR="114300">
            <wp:extent cx="8856980" cy="4996815"/>
            <wp:effectExtent l="0" t="0" r="1270" b="1333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3"/>
                    <a:srcRect t="7630"/>
                    <a:stretch>
                      <a:fillRect/>
                    </a:stretch>
                  </pic:blipFill>
                  <pic:spPr>
                    <a:xfrm>
                      <a:off x="0" y="0"/>
                      <a:ext cx="8856980" cy="4996815"/>
                    </a:xfrm>
                    <a:prstGeom prst="rect">
                      <a:avLst/>
                    </a:prstGeom>
                    <a:noFill/>
                    <a:ln>
                      <a:noFill/>
                    </a:ln>
                  </pic:spPr>
                </pic:pic>
              </a:graphicData>
            </a:graphic>
          </wp:inline>
        </w:drawing>
      </w:r>
    </w:p>
    <w:p>
      <w:pPr>
        <w:jc w:val="left"/>
        <w:rPr>
          <w:rFonts w:hint="default"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lang w:val="en-US" w:eastAsia="zh-CN"/>
        </w:rPr>
        <w:t>附图2：现场环境及采样图</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1"/>
        <w:gridCol w:w="2"/>
        <w:gridCol w:w="4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0" w:hRule="atLeast"/>
        </w:trPr>
        <w:tc>
          <w:tcPr>
            <w:tcW w:w="4673" w:type="dxa"/>
            <w:gridSpan w:val="2"/>
            <w:vAlign w:val="center"/>
          </w:tcPr>
          <w:p>
            <w:pPr>
              <w:jc w:val="center"/>
              <w:rPr>
                <w:rFonts w:hint="default" w:ascii="仿宋_GB2312" w:hAnsi="仿宋_GB2312" w:eastAsia="仿宋_GB2312" w:cs="仿宋_GB2312"/>
                <w:b/>
                <w:bCs/>
                <w:color w:val="auto"/>
                <w:sz w:val="28"/>
                <w:szCs w:val="28"/>
                <w:vertAlign w:val="baseline"/>
                <w:lang w:val="en-US" w:eastAsia="zh-CN"/>
              </w:rPr>
            </w:pPr>
            <w:r>
              <w:rPr>
                <w:rFonts w:hint="default" w:ascii="仿宋_GB2312" w:hAnsi="仿宋_GB2312" w:eastAsia="仿宋_GB2312" w:cs="仿宋_GB2312"/>
                <w:b/>
                <w:bCs/>
                <w:color w:val="auto"/>
                <w:sz w:val="28"/>
                <w:szCs w:val="28"/>
                <w:vertAlign w:val="baseline"/>
                <w:lang w:val="en-US" w:eastAsia="zh-CN"/>
              </w:rPr>
              <w:drawing>
                <wp:inline distT="0" distB="0" distL="114300" distR="114300">
                  <wp:extent cx="2808605" cy="3744595"/>
                  <wp:effectExtent l="0" t="0" r="10795" b="8255"/>
                  <wp:docPr id="8" name="图片 8" descr="6634438bf1a0c312fd9f356479b9d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634438bf1a0c312fd9f356479b9d64"/>
                          <pic:cNvPicPr>
                            <a:picLocks noChangeAspect="1"/>
                          </pic:cNvPicPr>
                        </pic:nvPicPr>
                        <pic:blipFill>
                          <a:blip r:embed="rId24"/>
                          <a:stretch>
                            <a:fillRect/>
                          </a:stretch>
                        </pic:blipFill>
                        <pic:spPr>
                          <a:xfrm>
                            <a:off x="0" y="0"/>
                            <a:ext cx="2808605" cy="3744595"/>
                          </a:xfrm>
                          <a:prstGeom prst="rect">
                            <a:avLst/>
                          </a:prstGeom>
                        </pic:spPr>
                      </pic:pic>
                    </a:graphicData>
                  </a:graphic>
                </wp:inline>
              </w:drawing>
            </w:r>
          </w:p>
        </w:tc>
        <w:tc>
          <w:tcPr>
            <w:tcW w:w="4614" w:type="dxa"/>
            <w:vAlign w:val="center"/>
          </w:tcPr>
          <w:p>
            <w:pPr>
              <w:jc w:val="center"/>
              <w:rPr>
                <w:rFonts w:hint="default" w:ascii="仿宋_GB2312" w:hAnsi="仿宋_GB2312" w:eastAsia="仿宋_GB2312" w:cs="仿宋_GB2312"/>
                <w:b/>
                <w:bCs/>
                <w:color w:val="auto"/>
                <w:sz w:val="28"/>
                <w:szCs w:val="28"/>
                <w:vertAlign w:val="baseline"/>
                <w:lang w:val="en-US" w:eastAsia="zh-CN"/>
              </w:rPr>
            </w:pPr>
            <w:r>
              <w:rPr>
                <w:rFonts w:hint="default" w:ascii="仿宋_GB2312" w:hAnsi="仿宋_GB2312" w:eastAsia="仿宋_GB2312" w:cs="仿宋_GB2312"/>
                <w:b/>
                <w:bCs/>
                <w:color w:val="auto"/>
                <w:sz w:val="28"/>
                <w:szCs w:val="28"/>
                <w:vertAlign w:val="baseline"/>
                <w:lang w:val="en-US" w:eastAsia="zh-CN"/>
              </w:rPr>
              <w:drawing>
                <wp:inline distT="0" distB="0" distL="114300" distR="114300">
                  <wp:extent cx="2797810" cy="3730625"/>
                  <wp:effectExtent l="0" t="0" r="2540" b="3175"/>
                  <wp:docPr id="9" name="图片 9" descr="fd2780c544aa751f2cc6d03952182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d2780c544aa751f2cc6d039521820f"/>
                          <pic:cNvPicPr>
                            <a:picLocks noChangeAspect="1"/>
                          </pic:cNvPicPr>
                        </pic:nvPicPr>
                        <pic:blipFill>
                          <a:blip r:embed="rId25"/>
                          <a:stretch>
                            <a:fillRect/>
                          </a:stretch>
                        </pic:blipFill>
                        <pic:spPr>
                          <a:xfrm>
                            <a:off x="0" y="0"/>
                            <a:ext cx="2797810" cy="37306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0" w:hRule="atLeast"/>
        </w:trPr>
        <w:tc>
          <w:tcPr>
            <w:tcW w:w="4673" w:type="dxa"/>
            <w:gridSpan w:val="2"/>
            <w:vAlign w:val="center"/>
          </w:tcPr>
          <w:p>
            <w:pPr>
              <w:jc w:val="center"/>
              <w:rPr>
                <w:rFonts w:hint="default" w:ascii="仿宋_GB2312" w:hAnsi="仿宋_GB2312" w:eastAsia="仿宋_GB2312" w:cs="仿宋_GB2312"/>
                <w:b/>
                <w:bCs/>
                <w:color w:val="auto"/>
                <w:sz w:val="28"/>
                <w:szCs w:val="28"/>
                <w:vertAlign w:val="baseline"/>
                <w:lang w:val="en-US" w:eastAsia="zh-CN"/>
              </w:rPr>
            </w:pPr>
            <w:r>
              <w:rPr>
                <w:rFonts w:hint="default" w:ascii="仿宋_GB2312" w:hAnsi="仿宋_GB2312" w:eastAsia="仿宋_GB2312" w:cs="仿宋_GB2312"/>
                <w:b/>
                <w:bCs/>
                <w:color w:val="auto"/>
                <w:sz w:val="28"/>
                <w:szCs w:val="28"/>
                <w:vertAlign w:val="baseline"/>
                <w:lang w:val="en-US" w:eastAsia="zh-CN"/>
              </w:rPr>
              <w:drawing>
                <wp:inline distT="0" distB="0" distL="114300" distR="114300">
                  <wp:extent cx="2818765" cy="3757930"/>
                  <wp:effectExtent l="0" t="0" r="635" b="13970"/>
                  <wp:docPr id="11" name="图片 11" descr="9af99de11321cdaa96989c443b8f7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af99de11321cdaa96989c443b8f7a3"/>
                          <pic:cNvPicPr>
                            <a:picLocks noChangeAspect="1"/>
                          </pic:cNvPicPr>
                        </pic:nvPicPr>
                        <pic:blipFill>
                          <a:blip r:embed="rId26"/>
                          <a:stretch>
                            <a:fillRect/>
                          </a:stretch>
                        </pic:blipFill>
                        <pic:spPr>
                          <a:xfrm>
                            <a:off x="0" y="0"/>
                            <a:ext cx="2818765" cy="3757930"/>
                          </a:xfrm>
                          <a:prstGeom prst="rect">
                            <a:avLst/>
                          </a:prstGeom>
                        </pic:spPr>
                      </pic:pic>
                    </a:graphicData>
                  </a:graphic>
                </wp:inline>
              </w:drawing>
            </w:r>
          </w:p>
        </w:tc>
        <w:tc>
          <w:tcPr>
            <w:tcW w:w="4614" w:type="dxa"/>
            <w:vAlign w:val="center"/>
          </w:tcPr>
          <w:p>
            <w:pPr>
              <w:jc w:val="center"/>
              <w:rPr>
                <w:rFonts w:hint="default" w:ascii="仿宋_GB2312" w:hAnsi="仿宋_GB2312" w:eastAsia="仿宋_GB2312" w:cs="仿宋_GB2312"/>
                <w:b/>
                <w:bCs/>
                <w:color w:val="auto"/>
                <w:sz w:val="28"/>
                <w:szCs w:val="28"/>
                <w:vertAlign w:val="baseline"/>
                <w:lang w:val="en-US" w:eastAsia="zh-CN"/>
              </w:rPr>
            </w:pPr>
            <w:r>
              <w:rPr>
                <w:rFonts w:hint="default" w:ascii="仿宋_GB2312" w:hAnsi="仿宋_GB2312" w:eastAsia="仿宋_GB2312" w:cs="仿宋_GB2312"/>
                <w:b/>
                <w:bCs/>
                <w:color w:val="auto"/>
                <w:sz w:val="28"/>
                <w:szCs w:val="28"/>
                <w:vertAlign w:val="baseline"/>
                <w:lang w:val="en-US" w:eastAsia="zh-CN"/>
              </w:rPr>
              <w:drawing>
                <wp:inline distT="0" distB="0" distL="114300" distR="114300">
                  <wp:extent cx="2797810" cy="3730625"/>
                  <wp:effectExtent l="0" t="0" r="2540" b="3175"/>
                  <wp:docPr id="10" name="图片 10" descr="29e496dbf1afe866d0c9e2d0b36b5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9e496dbf1afe866d0c9e2d0b36b5bc"/>
                          <pic:cNvPicPr>
                            <a:picLocks noChangeAspect="1"/>
                          </pic:cNvPicPr>
                        </pic:nvPicPr>
                        <pic:blipFill>
                          <a:blip r:embed="rId27"/>
                          <a:stretch>
                            <a:fillRect/>
                          </a:stretch>
                        </pic:blipFill>
                        <pic:spPr>
                          <a:xfrm>
                            <a:off x="0" y="0"/>
                            <a:ext cx="2797810" cy="37306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7" w:type="dxa"/>
            <w:gridSpan w:val="3"/>
            <w:vAlign w:val="center"/>
          </w:tcPr>
          <w:p>
            <w:pPr>
              <w:jc w:val="center"/>
              <w:rPr>
                <w:rFonts w:hint="default"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监测采样照片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3" w:hRule="atLeast"/>
        </w:trPr>
        <w:tc>
          <w:tcPr>
            <w:tcW w:w="4673" w:type="dxa"/>
            <w:gridSpan w:val="2"/>
            <w:vAlign w:val="center"/>
          </w:tcPr>
          <w:p>
            <w:pPr>
              <w:jc w:val="center"/>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drawing>
                <wp:inline distT="0" distB="0" distL="114300" distR="114300">
                  <wp:extent cx="2820035" cy="3921125"/>
                  <wp:effectExtent l="0" t="0" r="18415" b="3175"/>
                  <wp:docPr id="22" name="图片 22" descr="7e7139209c7b3b218402d4cdedc9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e7139209c7b3b218402d4cdedc9e87"/>
                          <pic:cNvPicPr>
                            <a:picLocks noChangeAspect="1"/>
                          </pic:cNvPicPr>
                        </pic:nvPicPr>
                        <pic:blipFill>
                          <a:blip r:embed="rId28"/>
                          <a:srcRect t="21756"/>
                          <a:stretch>
                            <a:fillRect/>
                          </a:stretch>
                        </pic:blipFill>
                        <pic:spPr>
                          <a:xfrm>
                            <a:off x="0" y="0"/>
                            <a:ext cx="2820035" cy="3921125"/>
                          </a:xfrm>
                          <a:prstGeom prst="rect">
                            <a:avLst/>
                          </a:prstGeom>
                        </pic:spPr>
                      </pic:pic>
                    </a:graphicData>
                  </a:graphic>
                </wp:inline>
              </w:drawing>
            </w:r>
          </w:p>
        </w:tc>
        <w:tc>
          <w:tcPr>
            <w:tcW w:w="4614" w:type="dxa"/>
            <w:vAlign w:val="center"/>
          </w:tcPr>
          <w:p>
            <w:pPr>
              <w:jc w:val="center"/>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drawing>
                <wp:inline distT="0" distB="0" distL="114300" distR="114300">
                  <wp:extent cx="2797810" cy="3874135"/>
                  <wp:effectExtent l="0" t="0" r="2540" b="12065"/>
                  <wp:docPr id="18" name="图片 18" descr="28a4899ecb7620ac88ec3b29dda6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8a4899ecb7620ac88ec3b29dda6fcf"/>
                          <pic:cNvPicPr>
                            <a:picLocks noChangeAspect="1"/>
                          </pic:cNvPicPr>
                        </pic:nvPicPr>
                        <pic:blipFill>
                          <a:blip r:embed="rId29"/>
                          <a:srcRect b="22122"/>
                          <a:stretch>
                            <a:fillRect/>
                          </a:stretch>
                        </pic:blipFill>
                        <pic:spPr>
                          <a:xfrm>
                            <a:off x="0" y="0"/>
                            <a:ext cx="2797810" cy="38741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0" w:type="dxa"/>
            <w:vAlign w:val="center"/>
          </w:tcPr>
          <w:p>
            <w:pPr>
              <w:jc w:val="center"/>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厂区导流沟</w:t>
            </w:r>
          </w:p>
        </w:tc>
        <w:tc>
          <w:tcPr>
            <w:tcW w:w="4617" w:type="dxa"/>
            <w:gridSpan w:val="2"/>
            <w:vAlign w:val="center"/>
          </w:tcPr>
          <w:p>
            <w:pPr>
              <w:jc w:val="center"/>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物料筒仓及仓顶除尘设施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0" w:hRule="atLeast"/>
        </w:trPr>
        <w:tc>
          <w:tcPr>
            <w:tcW w:w="4670" w:type="dxa"/>
            <w:vAlign w:val="center"/>
          </w:tcPr>
          <w:p>
            <w:pPr>
              <w:jc w:val="center"/>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drawing>
                <wp:inline distT="0" distB="0" distL="114300" distR="114300">
                  <wp:extent cx="2805430" cy="3794760"/>
                  <wp:effectExtent l="0" t="0" r="13970" b="15240"/>
                  <wp:docPr id="20" name="图片 20" descr="ef77d07f2a2f8fa9ddd57f8c8b2f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f77d07f2a2f8fa9ddd57f8c8b2fe71"/>
                          <pic:cNvPicPr>
                            <a:picLocks noChangeAspect="1"/>
                          </pic:cNvPicPr>
                        </pic:nvPicPr>
                        <pic:blipFill>
                          <a:blip r:embed="rId30"/>
                          <a:srcRect t="23960"/>
                          <a:stretch>
                            <a:fillRect/>
                          </a:stretch>
                        </pic:blipFill>
                        <pic:spPr>
                          <a:xfrm>
                            <a:off x="0" y="0"/>
                            <a:ext cx="2805430" cy="3794760"/>
                          </a:xfrm>
                          <a:prstGeom prst="rect">
                            <a:avLst/>
                          </a:prstGeom>
                        </pic:spPr>
                      </pic:pic>
                    </a:graphicData>
                  </a:graphic>
                </wp:inline>
              </w:drawing>
            </w:r>
          </w:p>
        </w:tc>
        <w:tc>
          <w:tcPr>
            <w:tcW w:w="4617" w:type="dxa"/>
            <w:gridSpan w:val="2"/>
            <w:vAlign w:val="center"/>
          </w:tcPr>
          <w:p>
            <w:pPr>
              <w:jc w:val="center"/>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drawing>
                <wp:inline distT="0" distB="0" distL="114300" distR="114300">
                  <wp:extent cx="2787650" cy="3834130"/>
                  <wp:effectExtent l="0" t="0" r="12700" b="13970"/>
                  <wp:docPr id="24" name="图片 24" descr="ebf0ed6c382fbdbe3cc0c2eed23c4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bf0ed6c382fbdbe3cc0c2eed23c44e"/>
                          <pic:cNvPicPr>
                            <a:picLocks noChangeAspect="1"/>
                          </pic:cNvPicPr>
                        </pic:nvPicPr>
                        <pic:blipFill>
                          <a:blip r:embed="rId31"/>
                          <a:srcRect t="1717" b="20922"/>
                          <a:stretch>
                            <a:fillRect/>
                          </a:stretch>
                        </pic:blipFill>
                        <pic:spPr>
                          <a:xfrm>
                            <a:off x="0" y="0"/>
                            <a:ext cx="2787650" cy="38341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0" w:type="dxa"/>
            <w:vAlign w:val="center"/>
          </w:tcPr>
          <w:p>
            <w:pPr>
              <w:jc w:val="center"/>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物料运输上盖</w:t>
            </w:r>
          </w:p>
        </w:tc>
        <w:tc>
          <w:tcPr>
            <w:tcW w:w="4617" w:type="dxa"/>
            <w:gridSpan w:val="2"/>
            <w:vAlign w:val="center"/>
          </w:tcPr>
          <w:p>
            <w:pPr>
              <w:jc w:val="center"/>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物料密闭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6" w:hRule="atLeast"/>
        </w:trPr>
        <w:tc>
          <w:tcPr>
            <w:tcW w:w="4670" w:type="dxa"/>
            <w:vAlign w:val="center"/>
          </w:tcPr>
          <w:p>
            <w:pPr>
              <w:jc w:val="center"/>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drawing>
                <wp:inline distT="0" distB="0" distL="114300" distR="114300">
                  <wp:extent cx="2737485" cy="3766820"/>
                  <wp:effectExtent l="0" t="0" r="5715" b="5080"/>
                  <wp:docPr id="23" name="图片 23" descr="6b16a355f5901505066487f13b112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b16a355f5901505066487f13b1127d"/>
                          <pic:cNvPicPr>
                            <a:picLocks noChangeAspect="1"/>
                          </pic:cNvPicPr>
                        </pic:nvPicPr>
                        <pic:blipFill>
                          <a:blip r:embed="rId32"/>
                          <a:srcRect t="18695" b="3914"/>
                          <a:stretch>
                            <a:fillRect/>
                          </a:stretch>
                        </pic:blipFill>
                        <pic:spPr>
                          <a:xfrm>
                            <a:off x="0" y="0"/>
                            <a:ext cx="2737485" cy="3766820"/>
                          </a:xfrm>
                          <a:prstGeom prst="rect">
                            <a:avLst/>
                          </a:prstGeom>
                        </pic:spPr>
                      </pic:pic>
                    </a:graphicData>
                  </a:graphic>
                </wp:inline>
              </w:drawing>
            </w:r>
          </w:p>
        </w:tc>
        <w:tc>
          <w:tcPr>
            <w:tcW w:w="4617" w:type="dxa"/>
            <w:gridSpan w:val="2"/>
            <w:vAlign w:val="center"/>
          </w:tcPr>
          <w:p>
            <w:pPr>
              <w:jc w:val="center"/>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drawing>
                <wp:inline distT="0" distB="0" distL="114300" distR="114300">
                  <wp:extent cx="2797810" cy="3757295"/>
                  <wp:effectExtent l="0" t="0" r="2540" b="14605"/>
                  <wp:docPr id="21" name="图片 21" descr="fa9bb2d8bfbd92be6d5d3d577830a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a9bb2d8bfbd92be6d5d3d577830a62"/>
                          <pic:cNvPicPr>
                            <a:picLocks noChangeAspect="1"/>
                          </pic:cNvPicPr>
                        </pic:nvPicPr>
                        <pic:blipFill>
                          <a:blip r:embed="rId33"/>
                          <a:srcRect b="24470"/>
                          <a:stretch>
                            <a:fillRect/>
                          </a:stretch>
                        </pic:blipFill>
                        <pic:spPr>
                          <a:xfrm>
                            <a:off x="0" y="0"/>
                            <a:ext cx="2797810" cy="37572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0" w:type="dxa"/>
            <w:vAlign w:val="center"/>
          </w:tcPr>
          <w:p>
            <w:pPr>
              <w:jc w:val="center"/>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车辆冲洗装置</w:t>
            </w:r>
          </w:p>
        </w:tc>
        <w:tc>
          <w:tcPr>
            <w:tcW w:w="4617" w:type="dxa"/>
            <w:gridSpan w:val="2"/>
            <w:vAlign w:val="center"/>
          </w:tcPr>
          <w:p>
            <w:pPr>
              <w:jc w:val="center"/>
              <w:rPr>
                <w:rFonts w:hint="eastAsia"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沉淀池</w:t>
            </w:r>
          </w:p>
        </w:tc>
      </w:tr>
    </w:tbl>
    <w:p>
      <w:pPr>
        <w:jc w:val="left"/>
        <w:rPr>
          <w:rFonts w:hint="default" w:ascii="仿宋_GB2312" w:hAnsi="仿宋_GB2312" w:eastAsia="仿宋_GB2312" w:cs="仿宋_GB2312"/>
          <w:b/>
          <w:bCs/>
          <w:color w:val="auto"/>
          <w:sz w:val="28"/>
          <w:szCs w:val="28"/>
          <w:lang w:val="en-US" w:eastAsia="zh-CN"/>
        </w:rPr>
        <w:sectPr>
          <w:pgSz w:w="11907" w:h="16840"/>
          <w:pgMar w:top="1418" w:right="1418" w:bottom="1418" w:left="1418" w:header="851" w:footer="992" w:gutter="0"/>
          <w:pgNumType w:fmt="numberInDash"/>
          <w:cols w:space="720" w:num="1"/>
          <w:docGrid w:linePitch="317" w:charSpace="0"/>
        </w:sectPr>
      </w:pPr>
    </w:p>
    <w:p>
      <w:pPr>
        <w:jc w:val="left"/>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附件1：环评批复</w:t>
      </w:r>
    </w:p>
    <w:p>
      <w:pPr>
        <w:pStyle w:val="22"/>
        <w:jc w:val="both"/>
        <w:rPr>
          <w:rFonts w:hint="eastAsia"/>
          <w:lang w:val="en-US" w:eastAsia="zh-CN"/>
        </w:rPr>
      </w:pPr>
      <w:r>
        <w:rPr>
          <w:rFonts w:hint="eastAsia"/>
          <w:lang w:val="en-US" w:eastAsia="zh-CN"/>
        </w:rPr>
        <w:drawing>
          <wp:inline distT="0" distB="0" distL="114300" distR="114300">
            <wp:extent cx="5750560" cy="7519035"/>
            <wp:effectExtent l="0" t="0" r="2540" b="5715"/>
            <wp:docPr id="3" name="图片 3" descr="8718d2c1a547568fd6151cd9097a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718d2c1a547568fd6151cd9097a349"/>
                    <pic:cNvPicPr>
                      <a:picLocks noChangeAspect="1"/>
                    </pic:cNvPicPr>
                  </pic:nvPicPr>
                  <pic:blipFill>
                    <a:blip r:embed="rId34"/>
                    <a:srcRect b="1930"/>
                    <a:stretch>
                      <a:fillRect/>
                    </a:stretch>
                  </pic:blipFill>
                  <pic:spPr>
                    <a:xfrm>
                      <a:off x="0" y="0"/>
                      <a:ext cx="5750560" cy="7519035"/>
                    </a:xfrm>
                    <a:prstGeom prst="rect">
                      <a:avLst/>
                    </a:prstGeom>
                  </pic:spPr>
                </pic:pic>
              </a:graphicData>
            </a:graphic>
          </wp:inline>
        </w:drawing>
      </w:r>
    </w:p>
    <w:p>
      <w:pPr>
        <w:rPr>
          <w:rFonts w:hint="eastAsia"/>
          <w:lang w:val="en-US" w:eastAsia="zh-CN"/>
        </w:rPr>
        <w:sectPr>
          <w:pgSz w:w="11907" w:h="16840"/>
          <w:pgMar w:top="1418" w:right="1418" w:bottom="1418" w:left="1418" w:header="851" w:footer="992" w:gutter="0"/>
          <w:pgNumType w:fmt="numberInDash"/>
          <w:cols w:space="720" w:num="1"/>
          <w:docGrid w:linePitch="317" w:charSpace="0"/>
        </w:sectPr>
      </w:pPr>
      <w:r>
        <w:rPr>
          <w:rFonts w:hint="eastAsia"/>
          <w:lang w:val="en-US" w:eastAsia="zh-CN"/>
        </w:rPr>
        <w:drawing>
          <wp:inline distT="0" distB="0" distL="114300" distR="114300">
            <wp:extent cx="5750560" cy="7666990"/>
            <wp:effectExtent l="0" t="0" r="2540" b="10160"/>
            <wp:docPr id="6" name="图片 6" descr="058e618174f00d548233ef3a5da03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58e618174f00d548233ef3a5da031c"/>
                    <pic:cNvPicPr>
                      <a:picLocks noChangeAspect="1"/>
                    </pic:cNvPicPr>
                  </pic:nvPicPr>
                  <pic:blipFill>
                    <a:blip r:embed="rId35"/>
                    <a:stretch>
                      <a:fillRect/>
                    </a:stretch>
                  </pic:blipFill>
                  <pic:spPr>
                    <a:xfrm>
                      <a:off x="0" y="0"/>
                      <a:ext cx="5750560" cy="7666990"/>
                    </a:xfrm>
                    <a:prstGeom prst="rect">
                      <a:avLst/>
                    </a:prstGeom>
                  </pic:spPr>
                </pic:pic>
              </a:graphicData>
            </a:graphic>
          </wp:inline>
        </w:drawing>
      </w:r>
      <w:r>
        <w:rPr>
          <w:rFonts w:hint="eastAsia"/>
          <w:lang w:val="en-US" w:eastAsia="zh-CN"/>
        </w:rPr>
        <w:drawing>
          <wp:inline distT="0" distB="0" distL="114300" distR="114300">
            <wp:extent cx="5750560" cy="7666990"/>
            <wp:effectExtent l="0" t="0" r="2540" b="10160"/>
            <wp:docPr id="5" name="图片 5" descr="d2ef4d10beabcd3b46a11121bcbd2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2ef4d10beabcd3b46a11121bcbd28f"/>
                    <pic:cNvPicPr>
                      <a:picLocks noChangeAspect="1"/>
                    </pic:cNvPicPr>
                  </pic:nvPicPr>
                  <pic:blipFill>
                    <a:blip r:embed="rId36"/>
                    <a:stretch>
                      <a:fillRect/>
                    </a:stretch>
                  </pic:blipFill>
                  <pic:spPr>
                    <a:xfrm>
                      <a:off x="0" y="0"/>
                      <a:ext cx="5750560" cy="7666990"/>
                    </a:xfrm>
                    <a:prstGeom prst="rect">
                      <a:avLst/>
                    </a:prstGeom>
                  </pic:spPr>
                </pic:pic>
              </a:graphicData>
            </a:graphic>
          </wp:inline>
        </w:drawing>
      </w:r>
      <w:r>
        <w:rPr>
          <w:rFonts w:hint="eastAsia"/>
          <w:lang w:val="en-US" w:eastAsia="zh-CN"/>
        </w:rPr>
        <w:drawing>
          <wp:inline distT="0" distB="0" distL="114300" distR="114300">
            <wp:extent cx="5750560" cy="7666990"/>
            <wp:effectExtent l="0" t="0" r="2540" b="10160"/>
            <wp:docPr id="7" name="图片 7" descr="d9e32af96df5f012485d1d8f83870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9e32af96df5f012485d1d8f838707b"/>
                    <pic:cNvPicPr>
                      <a:picLocks noChangeAspect="1"/>
                    </pic:cNvPicPr>
                  </pic:nvPicPr>
                  <pic:blipFill>
                    <a:blip r:embed="rId37"/>
                    <a:stretch>
                      <a:fillRect/>
                    </a:stretch>
                  </pic:blipFill>
                  <pic:spPr>
                    <a:xfrm>
                      <a:off x="0" y="0"/>
                      <a:ext cx="5750560" cy="7666990"/>
                    </a:xfrm>
                    <a:prstGeom prst="rect">
                      <a:avLst/>
                    </a:prstGeom>
                  </pic:spPr>
                </pic:pic>
              </a:graphicData>
            </a:graphic>
          </wp:inline>
        </w:drawing>
      </w:r>
    </w:p>
    <w:p>
      <w:pPr>
        <w:jc w:val="left"/>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附件2 委托书</w:t>
      </w:r>
    </w:p>
    <w:p>
      <w:pPr>
        <w:jc w:val="left"/>
        <w:rPr>
          <w:rFonts w:hint="eastAsia" w:ascii="仿宋_GB2312" w:hAnsi="仿宋_GB2312" w:eastAsia="仿宋_GB2312" w:cs="仿宋_GB2312"/>
          <w:b/>
          <w:bCs/>
          <w:color w:val="auto"/>
          <w:sz w:val="28"/>
          <w:szCs w:val="28"/>
          <w:lang w:val="en-US" w:eastAsia="zh-CN"/>
        </w:rPr>
      </w:pPr>
    </w:p>
    <w:p>
      <w:pPr>
        <w:tabs>
          <w:tab w:val="left" w:pos="2721"/>
        </w:tabs>
        <w:spacing w:line="360" w:lineRule="auto"/>
        <w:jc w:val="center"/>
        <w:rPr>
          <w:rFonts w:hint="default" w:ascii="Times New Roman" w:hAnsi="Times New Roman" w:eastAsia="宋体" w:cs="Times New Roman"/>
          <w:sz w:val="36"/>
          <w:szCs w:val="36"/>
        </w:rPr>
      </w:pPr>
      <w:r>
        <w:rPr>
          <w:rFonts w:hint="default" w:ascii="Times New Roman" w:hAnsi="Times New Roman" w:eastAsia="宋体" w:cs="Times New Roman"/>
          <w:sz w:val="36"/>
          <w:szCs w:val="36"/>
        </w:rPr>
        <w:t>委托书</w:t>
      </w:r>
    </w:p>
    <w:p>
      <w:pPr>
        <w:tabs>
          <w:tab w:val="left" w:pos="2721"/>
        </w:tabs>
        <w:spacing w:line="360" w:lineRule="auto"/>
        <w:jc w:val="center"/>
        <w:rPr>
          <w:rFonts w:hint="default" w:ascii="Times New Roman" w:hAnsi="Times New Roman" w:eastAsia="宋体" w:cs="Times New Roman"/>
          <w:sz w:val="28"/>
          <w:szCs w:val="28"/>
        </w:rPr>
      </w:pPr>
    </w:p>
    <w:p>
      <w:pPr>
        <w:tabs>
          <w:tab w:val="left" w:pos="2721"/>
        </w:tabs>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安徽迈峰检测技术有限公司：</w:t>
      </w:r>
    </w:p>
    <w:p>
      <w:pPr>
        <w:tabs>
          <w:tab w:val="left" w:pos="2721"/>
        </w:tabs>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我公司</w:t>
      </w:r>
      <w:r>
        <w:rPr>
          <w:rFonts w:hint="eastAsia" w:cs="Times New Roman"/>
          <w:sz w:val="28"/>
          <w:szCs w:val="28"/>
          <w:u w:val="single"/>
          <w:lang w:eastAsia="zh-CN"/>
        </w:rPr>
        <w:t>年产30万立方预拌砂浆、商品混凝土、15万立方PC预制构件项目</w:t>
      </w:r>
      <w:r>
        <w:rPr>
          <w:rFonts w:hint="default" w:ascii="Times New Roman" w:hAnsi="Times New Roman" w:eastAsia="宋体" w:cs="Times New Roman"/>
          <w:sz w:val="28"/>
          <w:szCs w:val="28"/>
        </w:rPr>
        <w:t>已竣工并已开始调试运行，现生产及环保设施运行正常，根据环境保护有关法律法规及建设项目竣工环境保护验收管理办法的有关规定，需对该项目进行竣工项目环境保护验收，特委托贵公司承担该项目竣工环境保护验收监测工作。</w:t>
      </w:r>
    </w:p>
    <w:p>
      <w:pPr>
        <w:tabs>
          <w:tab w:val="left" w:pos="2721"/>
        </w:tabs>
        <w:spacing w:line="360" w:lineRule="auto"/>
        <w:jc w:val="center"/>
        <w:rPr>
          <w:rFonts w:hint="default" w:ascii="Times New Roman" w:hAnsi="Times New Roman" w:eastAsia="宋体" w:cs="Times New Roman"/>
          <w:sz w:val="28"/>
          <w:szCs w:val="28"/>
        </w:rPr>
      </w:pPr>
    </w:p>
    <w:p>
      <w:pPr>
        <w:tabs>
          <w:tab w:val="left" w:pos="2721"/>
        </w:tabs>
        <w:spacing w:line="360" w:lineRule="auto"/>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 xml:space="preserve">                                        </w:t>
      </w:r>
    </w:p>
    <w:p>
      <w:pPr>
        <w:tabs>
          <w:tab w:val="left" w:pos="2721"/>
        </w:tabs>
        <w:spacing w:line="360" w:lineRule="auto"/>
        <w:ind w:left="6440" w:hanging="6440" w:hangingChars="2300"/>
        <w:jc w:val="right"/>
        <w:rPr>
          <w:rFonts w:hint="default" w:ascii="Times New Roman" w:hAnsi="Times New Roman" w:eastAsia="宋体" w:cs="Times New Roman"/>
          <w:sz w:val="28"/>
          <w:szCs w:val="28"/>
        </w:rPr>
      </w:pPr>
      <w:r>
        <w:rPr>
          <w:rFonts w:hint="default" w:ascii="Times New Roman" w:hAnsi="Times New Roman" w:eastAsia="宋体" w:cs="Times New Roman"/>
          <w:sz w:val="28"/>
          <w:szCs w:val="28"/>
        </w:rPr>
        <w:t xml:space="preserve">                           </w:t>
      </w:r>
      <w:r>
        <w:rPr>
          <w:rFonts w:hint="eastAsia" w:cs="Times New Roman"/>
          <w:sz w:val="28"/>
          <w:szCs w:val="28"/>
          <w:lang w:eastAsia="zh-CN"/>
        </w:rPr>
        <w:t>明光市沪光建筑材料有限公司</w:t>
      </w:r>
      <w:r>
        <w:rPr>
          <w:rFonts w:hint="default" w:ascii="Times New Roman" w:hAnsi="Times New Roman" w:eastAsia="宋体" w:cs="Times New Roman"/>
          <w:sz w:val="28"/>
          <w:szCs w:val="28"/>
        </w:rPr>
        <w:t xml:space="preserve">                 （盖章）</w:t>
      </w:r>
    </w:p>
    <w:p>
      <w:pPr>
        <w:widowControl w:val="0"/>
        <w:adjustRightInd w:val="0"/>
        <w:snapToGrid w:val="0"/>
        <w:spacing w:line="360" w:lineRule="auto"/>
        <w:jc w:val="right"/>
        <w:textAlignment w:val="baseline"/>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8"/>
          <w:szCs w:val="28"/>
          <w:lang w:val="en-US" w:eastAsia="zh-CN" w:bidi="ar-SA"/>
        </w:rPr>
        <w:t>20</w:t>
      </w:r>
      <w:r>
        <w:rPr>
          <w:rFonts w:hint="eastAsia" w:ascii="Times New Roman" w:hAnsi="Times New Roman" w:eastAsia="宋体" w:cs="Times New Roman"/>
          <w:kern w:val="2"/>
          <w:sz w:val="28"/>
          <w:szCs w:val="28"/>
          <w:lang w:val="en-US" w:eastAsia="zh-CN" w:bidi="ar-SA"/>
        </w:rPr>
        <w:t>2</w:t>
      </w:r>
      <w:r>
        <w:rPr>
          <w:rFonts w:hint="eastAsia" w:cs="Times New Roman"/>
          <w:kern w:val="2"/>
          <w:sz w:val="28"/>
          <w:szCs w:val="28"/>
          <w:lang w:val="en-US" w:eastAsia="zh-CN" w:bidi="ar-SA"/>
        </w:rPr>
        <w:t>1</w:t>
      </w:r>
      <w:r>
        <w:rPr>
          <w:rFonts w:hint="default" w:ascii="Times New Roman" w:hAnsi="Times New Roman" w:eastAsia="宋体" w:cs="Times New Roman"/>
          <w:kern w:val="2"/>
          <w:sz w:val="28"/>
          <w:szCs w:val="28"/>
          <w:lang w:val="en-US" w:eastAsia="zh-CN" w:bidi="ar-SA"/>
        </w:rPr>
        <w:t>年</w:t>
      </w:r>
      <w:r>
        <w:rPr>
          <w:rFonts w:hint="eastAsia" w:cs="Times New Roman"/>
          <w:kern w:val="2"/>
          <w:sz w:val="28"/>
          <w:szCs w:val="28"/>
          <w:lang w:val="en-US" w:eastAsia="zh-CN" w:bidi="ar-SA"/>
        </w:rPr>
        <w:t>4</w:t>
      </w:r>
      <w:r>
        <w:rPr>
          <w:rFonts w:hint="default" w:ascii="Times New Roman" w:hAnsi="Times New Roman" w:eastAsia="宋体" w:cs="Times New Roman"/>
          <w:kern w:val="2"/>
          <w:sz w:val="28"/>
          <w:szCs w:val="28"/>
          <w:lang w:val="en-US" w:eastAsia="zh-CN" w:bidi="ar-SA"/>
        </w:rPr>
        <w:t>月</w:t>
      </w:r>
    </w:p>
    <w:p>
      <w:pPr>
        <w:rPr>
          <w:rFonts w:hint="default"/>
          <w:lang w:eastAsia="zh-CN"/>
        </w:rPr>
        <w:sectPr>
          <w:pgSz w:w="11907" w:h="16840"/>
          <w:pgMar w:top="1418" w:right="1418" w:bottom="1418" w:left="1418" w:header="851" w:footer="992" w:gutter="0"/>
          <w:pgNumType w:fmt="numberInDash"/>
          <w:cols w:space="720" w:num="1"/>
          <w:docGrid w:linePitch="317" w:charSpace="0"/>
        </w:sectPr>
      </w:pPr>
    </w:p>
    <w:p>
      <w:pPr>
        <w:jc w:val="left"/>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附件3工况自查</w:t>
      </w:r>
    </w:p>
    <w:p>
      <w:pPr>
        <w:jc w:val="left"/>
        <w:rPr>
          <w:rFonts w:hint="eastAsia" w:ascii="仿宋_GB2312" w:hAnsi="仿宋_GB2312" w:eastAsia="仿宋_GB2312" w:cs="仿宋_GB2312"/>
          <w:b/>
          <w:bCs/>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验收监测期间生产负荷一览表</w:t>
      </w:r>
    </w:p>
    <w:tbl>
      <w:tblPr>
        <w:tblStyle w:val="16"/>
        <w:tblW w:w="91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3"/>
        <w:gridCol w:w="1467"/>
        <w:gridCol w:w="1733"/>
        <w:gridCol w:w="1116"/>
        <w:gridCol w:w="2028"/>
        <w:gridCol w:w="1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auto"/>
                <w:sz w:val="21"/>
                <w:szCs w:val="21"/>
                <w:lang w:val="en-US" w:eastAsia="zh-CN"/>
              </w:rPr>
            </w:pPr>
            <w:r>
              <w:rPr>
                <w:rFonts w:hint="eastAsia" w:ascii="仿宋_GB2312" w:hAnsi="仿宋_GB2312" w:eastAsia="仿宋_GB2312" w:cs="仿宋_GB2312"/>
                <w:b/>
                <w:bCs/>
                <w:color w:val="auto"/>
                <w:sz w:val="21"/>
                <w:szCs w:val="21"/>
                <w:lang w:val="en-US" w:eastAsia="zh-CN"/>
              </w:rPr>
              <w:t>名称</w:t>
            </w:r>
          </w:p>
        </w:tc>
        <w:tc>
          <w:tcPr>
            <w:tcW w:w="146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bCs/>
                <w:color w:val="auto"/>
                <w:sz w:val="21"/>
                <w:szCs w:val="21"/>
                <w:lang w:val="en-US" w:eastAsia="zh-CN"/>
              </w:rPr>
            </w:pPr>
            <w:r>
              <w:rPr>
                <w:rFonts w:hint="eastAsia" w:ascii="仿宋_GB2312" w:hAnsi="仿宋_GB2312" w:eastAsia="仿宋_GB2312" w:cs="仿宋_GB2312"/>
                <w:b/>
                <w:bCs/>
                <w:color w:val="auto"/>
                <w:sz w:val="21"/>
                <w:szCs w:val="21"/>
                <w:lang w:val="en-US" w:eastAsia="zh-CN"/>
              </w:rPr>
              <w:t>设计年产量m</w:t>
            </w:r>
            <w:r>
              <w:rPr>
                <w:rFonts w:hint="eastAsia" w:ascii="仿宋_GB2312" w:hAnsi="仿宋_GB2312" w:eastAsia="仿宋_GB2312" w:cs="仿宋_GB2312"/>
                <w:b/>
                <w:bCs/>
                <w:color w:val="auto"/>
                <w:sz w:val="21"/>
                <w:szCs w:val="21"/>
                <w:vertAlign w:val="superscript"/>
                <w:lang w:val="en-US" w:eastAsia="zh-CN"/>
              </w:rPr>
              <w:t>3</w:t>
            </w:r>
          </w:p>
        </w:tc>
        <w:tc>
          <w:tcPr>
            <w:tcW w:w="173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auto"/>
                <w:sz w:val="21"/>
                <w:szCs w:val="21"/>
                <w:lang w:val="en-US" w:eastAsia="zh-CN"/>
              </w:rPr>
            </w:pPr>
            <w:r>
              <w:rPr>
                <w:rFonts w:hint="eastAsia" w:ascii="仿宋_GB2312" w:hAnsi="仿宋_GB2312" w:eastAsia="仿宋_GB2312" w:cs="仿宋_GB2312"/>
                <w:b/>
                <w:bCs/>
                <w:color w:val="auto"/>
                <w:sz w:val="21"/>
                <w:szCs w:val="21"/>
                <w:lang w:val="en-US" w:eastAsia="zh-CN"/>
              </w:rPr>
              <w:t>设计日产量m</w:t>
            </w:r>
            <w:r>
              <w:rPr>
                <w:rFonts w:hint="eastAsia" w:ascii="仿宋_GB2312" w:hAnsi="仿宋_GB2312" w:eastAsia="仿宋_GB2312" w:cs="仿宋_GB2312"/>
                <w:b/>
                <w:bCs/>
                <w:color w:val="auto"/>
                <w:sz w:val="21"/>
                <w:szCs w:val="21"/>
                <w:vertAlign w:val="superscript"/>
                <w:lang w:val="en-US" w:eastAsia="zh-CN"/>
              </w:rPr>
              <w:t>3</w:t>
            </w:r>
          </w:p>
        </w:tc>
        <w:tc>
          <w:tcPr>
            <w:tcW w:w="111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auto"/>
                <w:sz w:val="21"/>
                <w:szCs w:val="21"/>
                <w:lang w:val="en-US" w:eastAsia="zh-CN"/>
              </w:rPr>
            </w:pPr>
            <w:r>
              <w:rPr>
                <w:rFonts w:hint="eastAsia" w:ascii="仿宋_GB2312" w:hAnsi="仿宋_GB2312" w:eastAsia="仿宋_GB2312" w:cs="仿宋_GB2312"/>
                <w:b/>
                <w:bCs/>
                <w:color w:val="auto"/>
                <w:sz w:val="21"/>
                <w:szCs w:val="21"/>
                <w:lang w:val="en-US" w:eastAsia="zh-CN"/>
              </w:rPr>
              <w:t>监测日期</w:t>
            </w:r>
          </w:p>
        </w:tc>
        <w:tc>
          <w:tcPr>
            <w:tcW w:w="202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auto"/>
                <w:sz w:val="21"/>
                <w:szCs w:val="21"/>
                <w:lang w:val="en-US" w:eastAsia="zh-CN"/>
              </w:rPr>
            </w:pPr>
            <w:r>
              <w:rPr>
                <w:rFonts w:hint="eastAsia" w:ascii="仿宋_GB2312" w:hAnsi="仿宋_GB2312" w:eastAsia="仿宋_GB2312" w:cs="仿宋_GB2312"/>
                <w:b/>
                <w:bCs/>
                <w:color w:val="auto"/>
                <w:sz w:val="21"/>
                <w:szCs w:val="21"/>
                <w:lang w:val="en-US" w:eastAsia="zh-CN"/>
              </w:rPr>
              <w:t>验收监测期间产量</w:t>
            </w:r>
          </w:p>
        </w:tc>
        <w:tc>
          <w:tcPr>
            <w:tcW w:w="15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color w:val="auto"/>
                <w:sz w:val="21"/>
                <w:szCs w:val="21"/>
                <w:lang w:val="en-US" w:eastAsia="zh-CN"/>
              </w:rPr>
            </w:pPr>
            <w:r>
              <w:rPr>
                <w:rFonts w:hint="eastAsia" w:ascii="仿宋_GB2312" w:hAnsi="仿宋_GB2312" w:eastAsia="仿宋_GB2312" w:cs="仿宋_GB2312"/>
                <w:b/>
                <w:bCs/>
                <w:color w:val="auto"/>
                <w:sz w:val="21"/>
                <w:szCs w:val="21"/>
                <w:lang w:val="en-US" w:eastAsia="zh-CN"/>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23" w:type="dxa"/>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sz w:val="21"/>
                <w:szCs w:val="21"/>
              </w:rPr>
              <w:t>湿拌砂浆</w:t>
            </w:r>
          </w:p>
        </w:tc>
        <w:tc>
          <w:tcPr>
            <w:tcW w:w="1467" w:type="dxa"/>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sz w:val="21"/>
                <w:szCs w:val="21"/>
              </w:rPr>
              <w:t>10万</w:t>
            </w:r>
          </w:p>
        </w:tc>
        <w:tc>
          <w:tcPr>
            <w:tcW w:w="173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333.3</w:t>
            </w:r>
          </w:p>
        </w:tc>
        <w:tc>
          <w:tcPr>
            <w:tcW w:w="111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5.26</w:t>
            </w:r>
          </w:p>
        </w:tc>
        <w:tc>
          <w:tcPr>
            <w:tcW w:w="2028"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color w:val="auto"/>
                <w:kern w:val="2"/>
                <w:sz w:val="21"/>
                <w:szCs w:val="21"/>
                <w:vertAlign w:val="baseline"/>
                <w:lang w:val="en-US" w:eastAsia="zh-CN" w:bidi="ar-SA"/>
              </w:rPr>
              <w:t>300</w:t>
            </w:r>
          </w:p>
        </w:tc>
        <w:tc>
          <w:tcPr>
            <w:tcW w:w="15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2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p>
        </w:tc>
        <w:tc>
          <w:tcPr>
            <w:tcW w:w="146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p>
        </w:tc>
        <w:tc>
          <w:tcPr>
            <w:tcW w:w="17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kern w:val="2"/>
                <w:sz w:val="21"/>
                <w:szCs w:val="21"/>
                <w:lang w:val="en-US" w:eastAsia="zh-CN" w:bidi="ar-SA"/>
              </w:rPr>
            </w:pPr>
          </w:p>
        </w:tc>
        <w:tc>
          <w:tcPr>
            <w:tcW w:w="111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5.27</w:t>
            </w:r>
          </w:p>
        </w:tc>
        <w:tc>
          <w:tcPr>
            <w:tcW w:w="2028"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color w:val="auto"/>
                <w:kern w:val="2"/>
                <w:sz w:val="21"/>
                <w:szCs w:val="21"/>
                <w:vertAlign w:val="baseline"/>
                <w:lang w:val="en-US" w:eastAsia="zh-CN" w:bidi="ar-SA"/>
              </w:rPr>
              <w:t>290</w:t>
            </w:r>
          </w:p>
        </w:tc>
        <w:tc>
          <w:tcPr>
            <w:tcW w:w="15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87.0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23" w:type="dxa"/>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sz w:val="21"/>
                <w:szCs w:val="21"/>
              </w:rPr>
              <w:t>干混砂浆</w:t>
            </w:r>
          </w:p>
        </w:tc>
        <w:tc>
          <w:tcPr>
            <w:tcW w:w="1467" w:type="dxa"/>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sz w:val="21"/>
                <w:szCs w:val="21"/>
              </w:rPr>
              <w:t>10万</w:t>
            </w:r>
          </w:p>
        </w:tc>
        <w:tc>
          <w:tcPr>
            <w:tcW w:w="173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333.3</w:t>
            </w:r>
          </w:p>
        </w:tc>
        <w:tc>
          <w:tcPr>
            <w:tcW w:w="111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5.26</w:t>
            </w:r>
          </w:p>
        </w:tc>
        <w:tc>
          <w:tcPr>
            <w:tcW w:w="2028"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280</w:t>
            </w:r>
          </w:p>
        </w:tc>
        <w:tc>
          <w:tcPr>
            <w:tcW w:w="15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2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sz w:val="21"/>
                <w:szCs w:val="21"/>
                <w:lang w:val="en-US" w:eastAsia="zh-CN"/>
              </w:rPr>
            </w:pPr>
          </w:p>
        </w:tc>
        <w:tc>
          <w:tcPr>
            <w:tcW w:w="146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sz w:val="21"/>
                <w:szCs w:val="21"/>
                <w:lang w:val="en-US" w:eastAsia="zh-CN"/>
              </w:rPr>
            </w:pPr>
          </w:p>
        </w:tc>
        <w:tc>
          <w:tcPr>
            <w:tcW w:w="17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sz w:val="21"/>
                <w:szCs w:val="21"/>
                <w:lang w:val="en-US" w:eastAsia="zh-CN"/>
              </w:rPr>
            </w:pPr>
          </w:p>
        </w:tc>
        <w:tc>
          <w:tcPr>
            <w:tcW w:w="111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lang w:val="en-US" w:eastAsia="zh-CN" w:bidi="ar-SA"/>
              </w:rPr>
              <w:t>5.27</w:t>
            </w:r>
          </w:p>
        </w:tc>
        <w:tc>
          <w:tcPr>
            <w:tcW w:w="2028"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310</w:t>
            </w:r>
          </w:p>
        </w:tc>
        <w:tc>
          <w:tcPr>
            <w:tcW w:w="15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323" w:type="dxa"/>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sz w:val="21"/>
                <w:szCs w:val="21"/>
              </w:rPr>
              <w:t>商品混凝土</w:t>
            </w:r>
          </w:p>
        </w:tc>
        <w:tc>
          <w:tcPr>
            <w:tcW w:w="1467" w:type="dxa"/>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sz w:val="21"/>
                <w:szCs w:val="21"/>
              </w:rPr>
              <w:t>23万，其中13万用于生产PC预制构件</w:t>
            </w:r>
          </w:p>
        </w:tc>
        <w:tc>
          <w:tcPr>
            <w:tcW w:w="173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766.7</w:t>
            </w:r>
          </w:p>
        </w:tc>
        <w:tc>
          <w:tcPr>
            <w:tcW w:w="111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5.26</w:t>
            </w:r>
          </w:p>
        </w:tc>
        <w:tc>
          <w:tcPr>
            <w:tcW w:w="2028"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730</w:t>
            </w:r>
          </w:p>
        </w:tc>
        <w:tc>
          <w:tcPr>
            <w:tcW w:w="15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2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sz w:val="21"/>
                <w:szCs w:val="21"/>
                <w:lang w:val="en-US" w:eastAsia="zh-CN"/>
              </w:rPr>
            </w:pPr>
          </w:p>
        </w:tc>
        <w:tc>
          <w:tcPr>
            <w:tcW w:w="146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sz w:val="21"/>
                <w:szCs w:val="21"/>
                <w:lang w:val="en-US" w:eastAsia="zh-CN"/>
              </w:rPr>
            </w:pPr>
          </w:p>
        </w:tc>
        <w:tc>
          <w:tcPr>
            <w:tcW w:w="17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sz w:val="21"/>
                <w:szCs w:val="21"/>
                <w:lang w:val="en-US" w:eastAsia="zh-CN"/>
              </w:rPr>
            </w:pPr>
          </w:p>
        </w:tc>
        <w:tc>
          <w:tcPr>
            <w:tcW w:w="111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lang w:val="en-US" w:eastAsia="zh-CN" w:bidi="ar-SA"/>
              </w:rPr>
              <w:t>5.27</w:t>
            </w:r>
          </w:p>
        </w:tc>
        <w:tc>
          <w:tcPr>
            <w:tcW w:w="2028"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710</w:t>
            </w:r>
          </w:p>
        </w:tc>
        <w:tc>
          <w:tcPr>
            <w:tcW w:w="15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23" w:type="dxa"/>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sz w:val="21"/>
                <w:szCs w:val="21"/>
              </w:rPr>
              <w:t>PC预制构件</w:t>
            </w:r>
          </w:p>
        </w:tc>
        <w:tc>
          <w:tcPr>
            <w:tcW w:w="1467" w:type="dxa"/>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sz w:val="21"/>
                <w:szCs w:val="21"/>
              </w:rPr>
              <w:t>15万</w:t>
            </w:r>
            <w:r>
              <w:rPr>
                <w:rFonts w:hint="default" w:ascii="Times New Roman" w:hAnsi="Times New Roman" w:eastAsia="仿宋_GB2312" w:cs="Times New Roman"/>
                <w:sz w:val="21"/>
                <w:szCs w:val="21"/>
              </w:rPr>
              <w:t>m</w:t>
            </w:r>
            <w:r>
              <w:rPr>
                <w:rFonts w:hint="default" w:ascii="Times New Roman" w:hAnsi="Times New Roman" w:eastAsia="仿宋_GB2312" w:cs="Times New Roman"/>
                <w:position w:val="7"/>
                <w:sz w:val="21"/>
                <w:szCs w:val="21"/>
              </w:rPr>
              <w:t>3</w:t>
            </w:r>
            <w:r>
              <w:rPr>
                <w:rFonts w:hint="eastAsia" w:ascii="仿宋_GB2312" w:hAnsi="仿宋_GB2312" w:eastAsia="仿宋_GB2312" w:cs="仿宋_GB2312"/>
                <w:sz w:val="21"/>
                <w:szCs w:val="21"/>
              </w:rPr>
              <w:t>/a</w:t>
            </w:r>
          </w:p>
        </w:tc>
        <w:tc>
          <w:tcPr>
            <w:tcW w:w="173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500</w:t>
            </w:r>
          </w:p>
        </w:tc>
        <w:tc>
          <w:tcPr>
            <w:tcW w:w="111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5.26</w:t>
            </w:r>
          </w:p>
        </w:tc>
        <w:tc>
          <w:tcPr>
            <w:tcW w:w="2028"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440</w:t>
            </w:r>
          </w:p>
        </w:tc>
        <w:tc>
          <w:tcPr>
            <w:tcW w:w="15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2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sz w:val="21"/>
                <w:szCs w:val="21"/>
                <w:lang w:val="en-US" w:eastAsia="zh-CN"/>
              </w:rPr>
            </w:pPr>
          </w:p>
        </w:tc>
        <w:tc>
          <w:tcPr>
            <w:tcW w:w="146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sz w:val="21"/>
                <w:szCs w:val="21"/>
                <w:lang w:val="en-US" w:eastAsia="zh-CN"/>
              </w:rPr>
            </w:pPr>
          </w:p>
        </w:tc>
        <w:tc>
          <w:tcPr>
            <w:tcW w:w="17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color w:val="auto"/>
                <w:sz w:val="21"/>
                <w:szCs w:val="21"/>
                <w:lang w:val="en-US" w:eastAsia="zh-CN"/>
              </w:rPr>
            </w:pPr>
          </w:p>
        </w:tc>
        <w:tc>
          <w:tcPr>
            <w:tcW w:w="111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lang w:val="en-US" w:eastAsia="zh-CN" w:bidi="ar-SA"/>
              </w:rPr>
              <w:t>5.27</w:t>
            </w:r>
          </w:p>
        </w:tc>
        <w:tc>
          <w:tcPr>
            <w:tcW w:w="2028"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450</w:t>
            </w:r>
          </w:p>
        </w:tc>
        <w:tc>
          <w:tcPr>
            <w:tcW w:w="15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90.0</w:t>
            </w:r>
          </w:p>
        </w:tc>
      </w:tr>
    </w:tbl>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default"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明光市沪光建筑材料有限公司</w:t>
      </w: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仿宋_GB2312" w:hAnsi="仿宋_GB2312" w:eastAsia="仿宋_GB2312" w:cs="仿宋_GB2312"/>
          <w:b/>
          <w:bCs/>
          <w:color w:val="auto"/>
          <w:sz w:val="28"/>
          <w:szCs w:val="28"/>
          <w:lang w:val="en-US" w:eastAsia="zh-CN"/>
        </w:rPr>
        <w:sectPr>
          <w:pgSz w:w="11907" w:h="16840"/>
          <w:pgMar w:top="1418" w:right="1418" w:bottom="1418" w:left="1418" w:header="851" w:footer="992" w:gutter="0"/>
          <w:pgNumType w:fmt="numberInDash"/>
          <w:cols w:space="720" w:num="1"/>
          <w:docGrid w:linePitch="317" w:charSpace="0"/>
        </w:sectPr>
      </w:pPr>
      <w:r>
        <w:rPr>
          <w:rFonts w:hint="default"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b/>
          <w:bCs/>
          <w:color w:val="auto"/>
          <w:sz w:val="28"/>
          <w:szCs w:val="28"/>
          <w:lang w:val="en-US" w:eastAsia="zh-CN"/>
        </w:rPr>
        <w:t xml:space="preserve">                        2021</w:t>
      </w:r>
      <w:r>
        <w:rPr>
          <w:rFonts w:hint="default" w:ascii="仿宋_GB2312" w:hAnsi="仿宋_GB2312" w:eastAsia="仿宋_GB2312" w:cs="仿宋_GB2312"/>
          <w:b/>
          <w:bCs/>
          <w:color w:val="auto"/>
          <w:sz w:val="28"/>
          <w:szCs w:val="28"/>
          <w:lang w:val="en-US" w:eastAsia="zh-CN"/>
        </w:rPr>
        <w:t>年</w:t>
      </w:r>
      <w:r>
        <w:rPr>
          <w:rFonts w:hint="eastAsia" w:ascii="仿宋_GB2312" w:hAnsi="仿宋_GB2312" w:eastAsia="仿宋_GB2312" w:cs="仿宋_GB2312"/>
          <w:b/>
          <w:bCs/>
          <w:color w:val="auto"/>
          <w:sz w:val="28"/>
          <w:szCs w:val="28"/>
          <w:lang w:val="en-US" w:eastAsia="zh-CN"/>
        </w:rPr>
        <w:t>5月27日</w:t>
      </w:r>
    </w:p>
    <w:p>
      <w:pPr>
        <w:jc w:val="left"/>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附件4 检测报告</w:t>
      </w:r>
    </w:p>
    <w:p>
      <w:pPr>
        <w:pStyle w:val="2"/>
        <w:keepNext w:val="0"/>
        <w:keepLines w:val="0"/>
        <w:pageBreakBefore w:val="0"/>
        <w:widowControl w:val="0"/>
        <w:kinsoku/>
        <w:wordWrap/>
        <w:overflowPunct/>
        <w:topLinePunct w:val="0"/>
        <w:autoSpaceDE/>
        <w:autoSpaceDN/>
        <w:bidi w:val="0"/>
        <w:adjustRightInd/>
        <w:snapToGrid w:val="0"/>
        <w:jc w:val="both"/>
        <w:textAlignment w:val="auto"/>
        <w:rPr>
          <w:rFonts w:hint="eastAsia"/>
          <w:lang w:val="en-US" w:eastAsia="zh-CN"/>
        </w:rPr>
        <w:sectPr>
          <w:pgSz w:w="11906" w:h="16838"/>
          <w:pgMar w:top="1440" w:right="1304" w:bottom="1440" w:left="1304" w:header="851" w:footer="992" w:gutter="0"/>
          <w:cols w:space="425" w:num="1"/>
          <w:docGrid w:type="lines" w:linePitch="312" w:charSpace="0"/>
        </w:sectPr>
      </w:pPr>
      <w:r>
        <w:rPr>
          <w:rFonts w:hint="eastAsia"/>
          <w:lang w:val="en-US" w:eastAsia="zh-CN"/>
        </w:rPr>
        <w:drawing>
          <wp:inline distT="0" distB="0" distL="114300" distR="114300">
            <wp:extent cx="5838825" cy="8248650"/>
            <wp:effectExtent l="0" t="0" r="9525"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38"/>
                    <a:stretch>
                      <a:fillRect/>
                    </a:stretch>
                  </pic:blipFill>
                  <pic:spPr>
                    <a:xfrm>
                      <a:off x="0" y="0"/>
                      <a:ext cx="5838825" cy="8248650"/>
                    </a:xfrm>
                    <a:prstGeom prst="rect">
                      <a:avLst/>
                    </a:prstGeom>
                    <a:noFill/>
                    <a:ln>
                      <a:noFill/>
                    </a:ln>
                  </pic:spPr>
                </pic:pic>
              </a:graphicData>
            </a:graphic>
          </wp:inline>
        </w:drawing>
      </w:r>
      <w:r>
        <w:rPr>
          <w:rFonts w:hint="eastAsia"/>
          <w:lang w:val="en-US" w:eastAsia="zh-CN"/>
        </w:rPr>
        <w:drawing>
          <wp:inline distT="0" distB="0" distL="114300" distR="114300">
            <wp:extent cx="5791200" cy="8248650"/>
            <wp:effectExtent l="0" t="0" r="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39"/>
                    <a:stretch>
                      <a:fillRect/>
                    </a:stretch>
                  </pic:blipFill>
                  <pic:spPr>
                    <a:xfrm>
                      <a:off x="0" y="0"/>
                      <a:ext cx="5791200" cy="8248650"/>
                    </a:xfrm>
                    <a:prstGeom prst="rect">
                      <a:avLst/>
                    </a:prstGeom>
                    <a:noFill/>
                    <a:ln>
                      <a:noFill/>
                    </a:ln>
                  </pic:spPr>
                </pic:pic>
              </a:graphicData>
            </a:graphic>
          </wp:inline>
        </w:drawing>
      </w:r>
      <w:r>
        <w:rPr>
          <w:rFonts w:hint="eastAsia"/>
          <w:lang w:val="en-US" w:eastAsia="zh-CN"/>
        </w:rPr>
        <w:drawing>
          <wp:inline distT="0" distB="0" distL="114300" distR="114300">
            <wp:extent cx="5819775" cy="8239125"/>
            <wp:effectExtent l="0" t="0" r="9525" b="952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40"/>
                    <a:stretch>
                      <a:fillRect/>
                    </a:stretch>
                  </pic:blipFill>
                  <pic:spPr>
                    <a:xfrm>
                      <a:off x="0" y="0"/>
                      <a:ext cx="5819775" cy="8239125"/>
                    </a:xfrm>
                    <a:prstGeom prst="rect">
                      <a:avLst/>
                    </a:prstGeom>
                    <a:noFill/>
                    <a:ln>
                      <a:noFill/>
                    </a:ln>
                  </pic:spPr>
                </pic:pic>
              </a:graphicData>
            </a:graphic>
          </wp:inline>
        </w:drawing>
      </w:r>
      <w:r>
        <w:rPr>
          <w:rFonts w:hint="eastAsia"/>
          <w:lang w:val="en-US" w:eastAsia="zh-CN"/>
        </w:rPr>
        <w:drawing>
          <wp:inline distT="0" distB="0" distL="114300" distR="114300">
            <wp:extent cx="5800725" cy="8286750"/>
            <wp:effectExtent l="0" t="0" r="9525" b="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41"/>
                    <a:stretch>
                      <a:fillRect/>
                    </a:stretch>
                  </pic:blipFill>
                  <pic:spPr>
                    <a:xfrm>
                      <a:off x="0" y="0"/>
                      <a:ext cx="5800725" cy="8286750"/>
                    </a:xfrm>
                    <a:prstGeom prst="rect">
                      <a:avLst/>
                    </a:prstGeom>
                    <a:noFill/>
                    <a:ln>
                      <a:noFill/>
                    </a:ln>
                  </pic:spPr>
                </pic:pic>
              </a:graphicData>
            </a:graphic>
          </wp:inline>
        </w:drawing>
      </w:r>
      <w:r>
        <w:rPr>
          <w:rFonts w:hint="eastAsia"/>
          <w:lang w:val="en-US" w:eastAsia="zh-CN"/>
        </w:rPr>
        <w:drawing>
          <wp:inline distT="0" distB="0" distL="114300" distR="114300">
            <wp:extent cx="5838825" cy="8239125"/>
            <wp:effectExtent l="0" t="0" r="9525" b="952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42"/>
                    <a:stretch>
                      <a:fillRect/>
                    </a:stretch>
                  </pic:blipFill>
                  <pic:spPr>
                    <a:xfrm>
                      <a:off x="0" y="0"/>
                      <a:ext cx="5838825" cy="8239125"/>
                    </a:xfrm>
                    <a:prstGeom prst="rect">
                      <a:avLst/>
                    </a:prstGeom>
                    <a:noFill/>
                    <a:ln>
                      <a:noFill/>
                    </a:ln>
                  </pic:spPr>
                </pic:pic>
              </a:graphicData>
            </a:graphic>
          </wp:inline>
        </w:drawing>
      </w:r>
    </w:p>
    <w:p>
      <w:pPr>
        <w:jc w:val="left"/>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附件5验收监测单位资质</w:t>
      </w:r>
    </w:p>
    <w:p>
      <w:pPr>
        <w:jc w:val="left"/>
        <w:rPr>
          <w:rFonts w:hint="eastAsia" w:ascii="仿宋_GB2312" w:hAnsi="仿宋_GB2312" w:eastAsia="宋体" w:cs="仿宋_GB2312"/>
          <w:b/>
          <w:bCs/>
          <w:color w:val="auto"/>
          <w:sz w:val="28"/>
          <w:szCs w:val="28"/>
          <w:lang w:val="en-US" w:eastAsia="zh-CN"/>
        </w:rPr>
        <w:sectPr>
          <w:pgSz w:w="11906" w:h="16838"/>
          <w:pgMar w:top="1440" w:right="1304" w:bottom="1440" w:left="1304" w:header="851" w:footer="992" w:gutter="0"/>
          <w:cols w:space="425" w:num="1"/>
          <w:docGrid w:type="lines" w:linePitch="312" w:charSpace="0"/>
        </w:sectPr>
      </w:pPr>
      <w:r>
        <w:rPr>
          <w:sz w:val="28"/>
        </w:rPr>
        <mc:AlternateContent>
          <mc:Choice Requires="wps">
            <w:drawing>
              <wp:anchor distT="0" distB="0" distL="114300" distR="114300" simplePos="0" relativeHeight="251665408" behindDoc="0" locked="0" layoutInCell="1" allowOverlap="1">
                <wp:simplePos x="0" y="0"/>
                <wp:positionH relativeFrom="column">
                  <wp:posOffset>109855</wp:posOffset>
                </wp:positionH>
                <wp:positionV relativeFrom="paragraph">
                  <wp:posOffset>4364990</wp:posOffset>
                </wp:positionV>
                <wp:extent cx="5130800" cy="317500"/>
                <wp:effectExtent l="1618615" t="0" r="1626235" b="0"/>
                <wp:wrapNone/>
                <wp:docPr id="92" name="文本框 346"/>
                <wp:cNvGraphicFramePr/>
                <a:graphic xmlns:a="http://schemas.openxmlformats.org/drawingml/2006/main">
                  <a:graphicData uri="http://schemas.microsoft.com/office/word/2010/wordprocessingShape">
                    <wps:wsp>
                      <wps:cNvSpPr txBox="1"/>
                      <wps:spPr>
                        <a:xfrm rot="-3000000">
                          <a:off x="0" y="0"/>
                          <a:ext cx="5130800" cy="317500"/>
                        </a:xfrm>
                        <a:prstGeom prst="rect">
                          <a:avLst/>
                        </a:prstGeom>
                        <a:noFill/>
                        <a:ln w="9525" cap="flat" cmpd="sng">
                          <a:solidFill>
                            <a:srgbClr val="C00000"/>
                          </a:solidFill>
                          <a:prstDash val="solid"/>
                          <a:miter/>
                          <a:headEnd type="none" w="med" len="med"/>
                          <a:tailEnd type="none" w="med" len="med"/>
                        </a:ln>
                      </wps:spPr>
                      <wps:txbx>
                        <w:txbxContent>
                          <w:p>
                            <w:pPr>
                              <w:rPr>
                                <w:rFonts w:hint="default" w:eastAsia="宋体"/>
                                <w:color w:val="C00000"/>
                                <w:highlight w:val="red"/>
                                <w:lang w:val="en-US" w:eastAsia="zh-CN"/>
                              </w:rPr>
                            </w:pPr>
                            <w:r>
                              <w:rPr>
                                <w:rFonts w:hint="eastAsia"/>
                                <w:color w:val="C00000"/>
                                <w:highlight w:val="red"/>
                                <w:lang w:eastAsia="zh-CN"/>
                              </w:rPr>
                              <w:t>仅用于明光市沪光建筑材料有限公司年产30万立方预拌砂浆、商品混凝土、15万立方PC预制构件项目</w:t>
                            </w:r>
                            <w:r>
                              <w:rPr>
                                <w:rFonts w:hint="eastAsia"/>
                                <w:color w:val="C00000"/>
                                <w:highlight w:val="red"/>
                                <w:lang w:val="en-US" w:eastAsia="zh-CN"/>
                              </w:rPr>
                              <w:t>验收报告，再次复印无效</w:t>
                            </w:r>
                          </w:p>
                        </w:txbxContent>
                      </wps:txbx>
                      <wps:bodyPr vert="horz" wrap="square" anchor="t" upright="0"/>
                    </wps:wsp>
                  </a:graphicData>
                </a:graphic>
              </wp:anchor>
            </w:drawing>
          </mc:Choice>
          <mc:Fallback>
            <w:pict>
              <v:shape id="文本框 346" o:spid="_x0000_s1026" o:spt="202" type="#_x0000_t202" style="position:absolute;left:0pt;margin-left:8.65pt;margin-top:343.7pt;height:25pt;width:404pt;rotation:-3276800f;z-index:251665408;mso-width-relative:page;mso-height-relative:page;" filled="f" stroked="t" coordsize="21600,21600" o:gfxdata="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NlWsb1wAAAAoBAAAPAAAAAAAAAAEAIAAAACIAAABkcnMvZG93bnJldi54bWxQSwECFAAUAAAA&#10;CACHTuJA11uyRygCAABEBAAADgAAAAAAAAABACAAAAAmAQAAZHJzL2Uyb0RvYy54bWxQSwUGAAAA&#10;AAYABgBZAQAAwAUAAAAA&#10;">
                <v:fill on="f" focussize="0,0"/>
                <v:stroke color="#C00000" joinstyle="miter"/>
                <v:imagedata o:title=""/>
                <o:lock v:ext="edit" aspectratio="f"/>
                <v:textbox>
                  <w:txbxContent>
                    <w:p>
                      <w:pPr>
                        <w:rPr>
                          <w:rFonts w:hint="default" w:eastAsia="宋体"/>
                          <w:color w:val="C00000"/>
                          <w:highlight w:val="red"/>
                          <w:lang w:val="en-US" w:eastAsia="zh-CN"/>
                        </w:rPr>
                      </w:pPr>
                      <w:r>
                        <w:rPr>
                          <w:rFonts w:hint="eastAsia"/>
                          <w:color w:val="C00000"/>
                          <w:highlight w:val="red"/>
                          <w:lang w:eastAsia="zh-CN"/>
                        </w:rPr>
                        <w:t>仅用于明光市沪光建筑材料有限公司年产30万立方预拌砂浆、商品混凝土、15万立方PC预制构件项目</w:t>
                      </w:r>
                      <w:r>
                        <w:rPr>
                          <w:rFonts w:hint="eastAsia"/>
                          <w:color w:val="C00000"/>
                          <w:highlight w:val="red"/>
                          <w:lang w:val="en-US" w:eastAsia="zh-CN"/>
                        </w:rPr>
                        <w:t>验收报告，再次复印无效</w:t>
                      </w:r>
                    </w:p>
                  </w:txbxContent>
                </v:textbox>
              </v:shape>
            </w:pict>
          </mc:Fallback>
        </mc:AlternateContent>
      </w:r>
      <w:r>
        <w:rPr>
          <w:rFonts w:hint="eastAsia" w:ascii="仿宋_GB2312" w:hAnsi="仿宋_GB2312" w:eastAsia="宋体" w:cs="仿宋_GB2312"/>
          <w:b/>
          <w:bCs/>
          <w:color w:val="auto"/>
          <w:sz w:val="28"/>
          <w:szCs w:val="28"/>
          <w:lang w:val="en-US" w:eastAsia="zh-CN"/>
        </w:rPr>
        <w:drawing>
          <wp:inline distT="0" distB="0" distL="114300" distR="114300">
            <wp:extent cx="5436870" cy="8236585"/>
            <wp:effectExtent l="0" t="0" r="11430" b="12065"/>
            <wp:docPr id="111" name="图片 514" descr="b33ed587b685157b34f298c57bd01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14" descr="b33ed587b685157b34f298c57bd01bc"/>
                    <pic:cNvPicPr>
                      <a:picLocks noChangeAspect="1"/>
                    </pic:cNvPicPr>
                  </pic:nvPicPr>
                  <pic:blipFill>
                    <a:blip r:embed="rId43"/>
                    <a:stretch>
                      <a:fillRect/>
                    </a:stretch>
                  </pic:blipFill>
                  <pic:spPr>
                    <a:xfrm>
                      <a:off x="0" y="0"/>
                      <a:ext cx="5436870" cy="82365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eastAsia="zh-CN"/>
        </w:rPr>
        <w:t>其他需要说明的事项</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环境保护设施设计、施工和验收过程简况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1.1设计简况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建设项目环境保护设施纳入初步设计，环保设施设计符合环保设计规范要求，未编制环境保护篇章，落实了防止污染和生态破坏的措施以及环境保护设施投资概算。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1.2施工简况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环保设施未纳入施工合同，环境保护设施的进度和资金得到了保证，项目建设过程中组织实施了环境影响</w:t>
      </w:r>
      <w:r>
        <w:rPr>
          <w:rFonts w:hint="eastAsia" w:ascii="Times New Roman" w:hAnsi="Times New Roman" w:eastAsia="宋体" w:cs="Times New Roman"/>
          <w:sz w:val="28"/>
          <w:szCs w:val="28"/>
          <w:lang w:val="en-US" w:eastAsia="zh-CN"/>
        </w:rPr>
        <w:t>报告书</w:t>
      </w:r>
      <w:r>
        <w:rPr>
          <w:rFonts w:hint="default" w:ascii="Times New Roman" w:hAnsi="Times New Roman" w:eastAsia="宋体" w:cs="Times New Roman"/>
          <w:sz w:val="28"/>
          <w:szCs w:val="28"/>
          <w:lang w:val="en-US" w:eastAsia="zh-CN"/>
        </w:rPr>
        <w:t>及其审批部门审批决定中提出的环境保护对策措施。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1.3验收过程简况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建设项目竣工调试时间为20</w:t>
      </w:r>
      <w:r>
        <w:rPr>
          <w:rFonts w:hint="eastAsia" w:ascii="Times New Roman" w:hAnsi="Times New Roman" w:eastAsia="宋体" w:cs="Times New Roman"/>
          <w:sz w:val="28"/>
          <w:szCs w:val="28"/>
          <w:lang w:val="en-US" w:eastAsia="zh-CN"/>
        </w:rPr>
        <w:t>20</w:t>
      </w:r>
      <w:r>
        <w:rPr>
          <w:rFonts w:hint="default" w:ascii="Times New Roman" w:hAnsi="Times New Roman" w:eastAsia="宋体" w:cs="Times New Roman"/>
          <w:sz w:val="28"/>
          <w:szCs w:val="28"/>
          <w:lang w:val="en-US" w:eastAsia="zh-CN"/>
        </w:rPr>
        <w:t>年</w:t>
      </w:r>
      <w:r>
        <w:rPr>
          <w:rFonts w:hint="eastAsia" w:ascii="Times New Roman" w:hAnsi="Times New Roman" w:eastAsia="宋体" w:cs="Times New Roman"/>
          <w:sz w:val="28"/>
          <w:szCs w:val="28"/>
          <w:lang w:val="en-US" w:eastAsia="zh-CN"/>
        </w:rPr>
        <w:t>8</w:t>
      </w:r>
      <w:r>
        <w:rPr>
          <w:rFonts w:hint="default" w:ascii="Times New Roman" w:hAnsi="Times New Roman" w:eastAsia="宋体" w:cs="Times New Roman"/>
          <w:sz w:val="28"/>
          <w:szCs w:val="28"/>
          <w:lang w:val="en-US" w:eastAsia="zh-CN"/>
        </w:rPr>
        <w:t>月，验收工作正式启动时间为20</w:t>
      </w:r>
      <w:r>
        <w:rPr>
          <w:rFonts w:hint="eastAsia" w:ascii="Times New Roman" w:hAnsi="Times New Roman" w:eastAsia="宋体" w:cs="Times New Roman"/>
          <w:sz w:val="28"/>
          <w:szCs w:val="28"/>
          <w:lang w:val="en-US" w:eastAsia="zh-CN"/>
        </w:rPr>
        <w:t>21</w:t>
      </w:r>
      <w:r>
        <w:rPr>
          <w:rFonts w:hint="default" w:ascii="Times New Roman" w:hAnsi="Times New Roman" w:eastAsia="宋体" w:cs="Times New Roman"/>
          <w:sz w:val="28"/>
          <w:szCs w:val="28"/>
          <w:lang w:val="en-US" w:eastAsia="zh-CN"/>
        </w:rPr>
        <w:t>年</w:t>
      </w:r>
      <w:r>
        <w:rPr>
          <w:rFonts w:hint="eastAsia" w:ascii="Times New Roman" w:hAnsi="Times New Roman" w:eastAsia="宋体" w:cs="Times New Roman"/>
          <w:sz w:val="28"/>
          <w:szCs w:val="28"/>
          <w:lang w:val="en-US" w:eastAsia="zh-CN"/>
        </w:rPr>
        <w:t>4</w:t>
      </w:r>
      <w:r>
        <w:rPr>
          <w:rFonts w:hint="default" w:ascii="Times New Roman" w:hAnsi="Times New Roman" w:eastAsia="宋体" w:cs="Times New Roman"/>
          <w:sz w:val="28"/>
          <w:szCs w:val="28"/>
          <w:lang w:val="en-US" w:eastAsia="zh-CN"/>
        </w:rPr>
        <w:t>月，自主验收方式（委托其他机构：安徽迈峰检测技术有限公司，CMA资质号：171212050705），验收报告完成时间为20</w:t>
      </w:r>
      <w:r>
        <w:rPr>
          <w:rFonts w:hint="eastAsia" w:ascii="Times New Roman" w:hAnsi="Times New Roman" w:eastAsia="宋体" w:cs="Times New Roman"/>
          <w:sz w:val="28"/>
          <w:szCs w:val="28"/>
          <w:lang w:val="en-US" w:eastAsia="zh-CN"/>
        </w:rPr>
        <w:t>21</w:t>
      </w:r>
      <w:r>
        <w:rPr>
          <w:rFonts w:hint="default" w:ascii="Times New Roman" w:hAnsi="Times New Roman" w:eastAsia="宋体" w:cs="Times New Roman"/>
          <w:sz w:val="28"/>
          <w:szCs w:val="28"/>
          <w:lang w:val="en-US" w:eastAsia="zh-CN"/>
        </w:rPr>
        <w:t>年</w:t>
      </w:r>
      <w:r>
        <w:rPr>
          <w:rFonts w:hint="eastAsia" w:ascii="Times New Roman" w:hAnsi="Times New Roman" w:eastAsia="宋体" w:cs="Times New Roman"/>
          <w:sz w:val="28"/>
          <w:szCs w:val="28"/>
          <w:lang w:val="en-US" w:eastAsia="zh-CN"/>
        </w:rPr>
        <w:t>6</w:t>
      </w:r>
      <w:r>
        <w:rPr>
          <w:rFonts w:hint="default" w:ascii="Times New Roman" w:hAnsi="Times New Roman" w:eastAsia="宋体" w:cs="Times New Roman"/>
          <w:sz w:val="28"/>
          <w:szCs w:val="28"/>
          <w:lang w:val="en-US" w:eastAsia="zh-CN"/>
        </w:rPr>
        <w:t>月。20</w:t>
      </w:r>
      <w:r>
        <w:rPr>
          <w:rFonts w:hint="eastAsia" w:ascii="Times New Roman" w:hAnsi="Times New Roman" w:eastAsia="宋体" w:cs="Times New Roman"/>
          <w:sz w:val="28"/>
          <w:szCs w:val="28"/>
          <w:lang w:val="en-US" w:eastAsia="zh-CN"/>
        </w:rPr>
        <w:t>21</w:t>
      </w:r>
      <w:r>
        <w:rPr>
          <w:rFonts w:hint="default" w:ascii="Times New Roman" w:hAnsi="Times New Roman" w:eastAsia="宋体" w:cs="Times New Roman"/>
          <w:sz w:val="28"/>
          <w:szCs w:val="28"/>
          <w:lang w:val="en-US" w:eastAsia="zh-CN"/>
        </w:rPr>
        <w:t>年</w:t>
      </w:r>
      <w:r>
        <w:rPr>
          <w:rFonts w:hint="eastAsia" w:ascii="Times New Roman" w:hAnsi="Times New Roman" w:eastAsia="宋体" w:cs="Times New Roman"/>
          <w:sz w:val="28"/>
          <w:szCs w:val="28"/>
          <w:lang w:val="en-US" w:eastAsia="zh-CN"/>
        </w:rPr>
        <w:t>6</w:t>
      </w:r>
      <w:r>
        <w:rPr>
          <w:rFonts w:hint="default" w:ascii="Times New Roman" w:hAnsi="Times New Roman" w:eastAsia="宋体" w:cs="Times New Roman"/>
          <w:sz w:val="28"/>
          <w:szCs w:val="28"/>
          <w:lang w:val="en-US" w:eastAsia="zh-CN"/>
        </w:rPr>
        <w:t>月</w:t>
      </w:r>
      <w:r>
        <w:rPr>
          <w:rFonts w:hint="eastAsia" w:ascii="Times New Roman" w:hAnsi="Times New Roman" w:eastAsia="宋体" w:cs="Times New Roman"/>
          <w:sz w:val="28"/>
          <w:szCs w:val="28"/>
          <w:lang w:val="en-US" w:eastAsia="zh-CN"/>
        </w:rPr>
        <w:t>26</w:t>
      </w:r>
      <w:r>
        <w:rPr>
          <w:rFonts w:hint="default" w:ascii="Times New Roman" w:hAnsi="Times New Roman" w:eastAsia="宋体" w:cs="Times New Roman"/>
          <w:sz w:val="28"/>
          <w:szCs w:val="28"/>
          <w:lang w:val="en-US" w:eastAsia="zh-CN"/>
        </w:rPr>
        <w:t>日自主召开了</w:t>
      </w:r>
      <w:r>
        <w:rPr>
          <w:rFonts w:hint="eastAsia" w:ascii="Times New Roman" w:hAnsi="Times New Roman" w:eastAsia="宋体" w:cs="Times New Roman"/>
          <w:sz w:val="28"/>
          <w:szCs w:val="28"/>
          <w:lang w:val="en-US" w:eastAsia="zh-CN"/>
        </w:rPr>
        <w:t>明光市沪光建筑材料有限公司年产30万立方预拌砂浆、商品混凝土、15万立方PC预制构件项目</w:t>
      </w:r>
      <w:r>
        <w:rPr>
          <w:rFonts w:hint="default" w:ascii="Times New Roman" w:hAnsi="Times New Roman" w:eastAsia="宋体" w:cs="Times New Roman"/>
          <w:sz w:val="28"/>
          <w:szCs w:val="28"/>
          <w:lang w:val="en-US" w:eastAsia="zh-CN"/>
        </w:rPr>
        <w:t>竣工环境保护验收会议，参加会议的有</w:t>
      </w:r>
      <w:r>
        <w:rPr>
          <w:rFonts w:hint="eastAsia" w:ascii="Times New Roman" w:hAnsi="Times New Roman" w:eastAsia="宋体" w:cs="Times New Roman"/>
          <w:sz w:val="28"/>
          <w:szCs w:val="28"/>
          <w:lang w:val="en-US" w:eastAsia="zh-CN"/>
        </w:rPr>
        <w:t>明光市沪光建筑材料有限公司</w:t>
      </w:r>
      <w:r>
        <w:rPr>
          <w:rFonts w:hint="default" w:ascii="Times New Roman" w:hAnsi="Times New Roman" w:eastAsia="宋体" w:cs="Times New Roman"/>
          <w:sz w:val="28"/>
          <w:szCs w:val="28"/>
          <w:lang w:val="en-US" w:eastAsia="zh-CN"/>
        </w:rPr>
        <w:t>（建设单位）、安徽迈峰检测技术有限公司（验收监测单位）等单位的代表及3名专家组成技术评审组（名单附后）。验收组及代表对建设项目进行了现场察看，听取了建设单位关于项目环境保护</w:t>
      </w:r>
      <w:r>
        <w:rPr>
          <w:rFonts w:hint="eastAsia" w:ascii="宋体" w:hAnsi="宋体" w:eastAsia="宋体" w:cs="宋体"/>
          <w:sz w:val="28"/>
          <w:szCs w:val="28"/>
          <w:lang w:val="en-US" w:eastAsia="zh-CN"/>
        </w:rPr>
        <w:t>“三同时”</w:t>
      </w:r>
      <w:r>
        <w:rPr>
          <w:rFonts w:hint="default" w:ascii="Times New Roman" w:hAnsi="Times New Roman" w:eastAsia="宋体" w:cs="Times New Roman"/>
          <w:sz w:val="28"/>
          <w:szCs w:val="28"/>
          <w:lang w:val="en-US" w:eastAsia="zh-CN"/>
        </w:rPr>
        <w:t>执行情况和验收调查（监测）单位关于项目竣工环境保护验收调查及监测情况的汇报，审阅并核实有关资料，经认真讨论，认为</w:t>
      </w:r>
      <w:r>
        <w:rPr>
          <w:rFonts w:hint="eastAsia" w:ascii="Times New Roman" w:hAnsi="Times New Roman" w:eastAsia="宋体" w:cs="Times New Roman"/>
          <w:sz w:val="28"/>
          <w:szCs w:val="28"/>
          <w:lang w:val="en-US" w:eastAsia="zh-CN"/>
        </w:rPr>
        <w:t>明光市沪光建筑材料有限公司年产30万立方预拌砂浆、商品混凝土、15万立方PC预制构件项目（阶段性）</w:t>
      </w:r>
      <w:r>
        <w:rPr>
          <w:rFonts w:hint="default" w:ascii="Times New Roman" w:hAnsi="Times New Roman" w:eastAsia="宋体" w:cs="Times New Roman"/>
          <w:sz w:val="28"/>
          <w:szCs w:val="28"/>
          <w:lang w:val="en-US" w:eastAsia="zh-CN"/>
        </w:rPr>
        <w:t>环评审批手续齐全，主要污染防治设已建成，均能实现达标排放，具备竣工环保验收条件，通过竣工环保验收。</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其他环境保护措施实施情况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环境影响</w:t>
      </w:r>
      <w:r>
        <w:rPr>
          <w:rFonts w:hint="eastAsia" w:ascii="Times New Roman" w:hAnsi="Times New Roman" w:eastAsia="宋体" w:cs="Times New Roman"/>
          <w:sz w:val="28"/>
          <w:szCs w:val="28"/>
          <w:lang w:val="en-US" w:eastAsia="zh-CN"/>
        </w:rPr>
        <w:t>报告书</w:t>
      </w:r>
      <w:r>
        <w:rPr>
          <w:rFonts w:hint="default" w:ascii="Times New Roman" w:hAnsi="Times New Roman" w:eastAsia="宋体" w:cs="Times New Roman"/>
          <w:sz w:val="28"/>
          <w:szCs w:val="28"/>
          <w:lang w:val="en-US" w:eastAsia="zh-CN"/>
        </w:rPr>
        <w:t>及其审批部门审批决定中提出的除环保设施外的其他环境保护措施主要包括制度措施和配套措施等，现将需要说明的措施内容和要求梳理如下：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2.1制度措施落实情况</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Chars="0"/>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环保组织机构及规章制度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项目由企业主要负责人负责环境管理，包括对</w:t>
      </w:r>
      <w:r>
        <w:rPr>
          <w:rFonts w:hint="eastAsia" w:ascii="Times New Roman" w:hAnsi="Times New Roman" w:eastAsia="宋体" w:cs="Times New Roman"/>
          <w:sz w:val="28"/>
          <w:szCs w:val="28"/>
          <w:lang w:val="en-US" w:eastAsia="zh-CN"/>
        </w:rPr>
        <w:t>废气、</w:t>
      </w:r>
      <w:r>
        <w:rPr>
          <w:rFonts w:hint="default" w:ascii="Times New Roman" w:hAnsi="Times New Roman" w:eastAsia="宋体" w:cs="Times New Roman"/>
          <w:sz w:val="28"/>
          <w:szCs w:val="28"/>
          <w:lang w:val="en-US" w:eastAsia="zh-CN"/>
        </w:rPr>
        <w:t>废水和固体废弃物的管理，确保各项环保工作的正常开展；保管新建项目的所有设备、工艺及各项技术资料，方便日常使用和查询。建立相关环境管理制度。</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环境监测计划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项目未设置专门环境监测实验室，建议委托第三方进行日常监测。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2.2配套措施落实情况</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Chars="0"/>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区域削减及淘汰落后产能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无。</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Chars="0"/>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防护距离控制及居民搬迁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无需居民搬迁。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2.3其他措施落实情况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无。</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整改工作情况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建设过程中未进行整改。验收调查期间未进行整改，基本符合竣工验收调查条件，验收调查意见提出后，我方积极落实，补充相关合同手续现已整改完成。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right"/>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明光市沪光建筑材料有限公司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right"/>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20</w:t>
      </w:r>
      <w:r>
        <w:rPr>
          <w:rFonts w:hint="eastAsia" w:ascii="Times New Roman" w:hAnsi="Times New Roman" w:eastAsia="宋体" w:cs="Times New Roman"/>
          <w:sz w:val="28"/>
          <w:szCs w:val="28"/>
          <w:lang w:val="en-US" w:eastAsia="zh-CN"/>
        </w:rPr>
        <w:t>21</w:t>
      </w:r>
      <w:r>
        <w:rPr>
          <w:rFonts w:hint="default" w:ascii="Times New Roman" w:hAnsi="Times New Roman" w:eastAsia="宋体" w:cs="Times New Roman"/>
          <w:sz w:val="28"/>
          <w:szCs w:val="28"/>
          <w:lang w:val="en-US" w:eastAsia="zh-CN"/>
        </w:rPr>
        <w:t>年</w:t>
      </w:r>
      <w:r>
        <w:rPr>
          <w:rFonts w:hint="eastAsia" w:ascii="Times New Roman" w:hAnsi="Times New Roman" w:eastAsia="宋体" w:cs="Times New Roman"/>
          <w:sz w:val="28"/>
          <w:szCs w:val="28"/>
          <w:lang w:val="en-US" w:eastAsia="zh-CN"/>
        </w:rPr>
        <w:t>6</w:t>
      </w:r>
      <w:r>
        <w:rPr>
          <w:rFonts w:hint="default" w:ascii="Times New Roman" w:hAnsi="Times New Roman" w:eastAsia="宋体" w:cs="Times New Roman"/>
          <w:sz w:val="28"/>
          <w:szCs w:val="28"/>
          <w:lang w:val="en-US" w:eastAsia="zh-CN"/>
        </w:rPr>
        <w:t>月</w:t>
      </w:r>
      <w:r>
        <w:rPr>
          <w:rFonts w:hint="eastAsia" w:ascii="Times New Roman" w:hAnsi="Times New Roman" w:eastAsia="宋体" w:cs="Times New Roman"/>
          <w:sz w:val="28"/>
          <w:szCs w:val="28"/>
          <w:lang w:val="en-US" w:eastAsia="zh-CN"/>
        </w:rPr>
        <w:t>26日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sz w:val="24"/>
          <w:szCs w:val="24"/>
          <w:lang w:val="en-US" w:eastAsia="zh-CN"/>
        </w:rPr>
      </w:pPr>
    </w:p>
    <w:p>
      <w:pPr>
        <w:pStyle w:val="2"/>
        <w:rPr>
          <w:rFonts w:hint="eastAsia"/>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b/>
          <w:color w:val="000000"/>
          <w:kern w:val="0"/>
          <w:sz w:val="36"/>
          <w:szCs w:val="36"/>
          <w:lang w:eastAsia="zh-CN"/>
        </w:rPr>
      </w:pPr>
      <w:r>
        <w:rPr>
          <w:rFonts w:hint="eastAsia" w:ascii="黑体" w:hAnsi="黑体" w:eastAsia="黑体" w:cs="黑体"/>
          <w:b/>
          <w:color w:val="000000"/>
          <w:kern w:val="0"/>
          <w:sz w:val="36"/>
          <w:szCs w:val="36"/>
          <w:lang w:eastAsia="zh-CN"/>
        </w:rPr>
        <w:t>明光市沪光建筑材料有限公司</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b/>
          <w:color w:val="000000"/>
          <w:kern w:val="0"/>
          <w:sz w:val="36"/>
          <w:szCs w:val="36"/>
        </w:rPr>
      </w:pPr>
      <w:r>
        <w:rPr>
          <w:rFonts w:hint="eastAsia" w:ascii="黑体" w:hAnsi="黑体" w:eastAsia="黑体" w:cs="黑体"/>
          <w:b/>
          <w:color w:val="000000"/>
          <w:w w:val="90"/>
          <w:kern w:val="0"/>
          <w:sz w:val="36"/>
          <w:szCs w:val="36"/>
          <w:lang w:eastAsia="zh-CN"/>
        </w:rPr>
        <w:t>年产30万立方预拌砂浆、商品混凝土、15万立方PC预制构件项目</w:t>
      </w:r>
      <w:r>
        <w:rPr>
          <w:rFonts w:hint="eastAsia" w:ascii="黑体" w:hAnsi="黑体" w:eastAsia="黑体" w:cs="黑体"/>
          <w:b/>
          <w:color w:val="000000"/>
          <w:kern w:val="0"/>
          <w:sz w:val="36"/>
          <w:szCs w:val="36"/>
          <w:lang w:eastAsia="zh-CN"/>
        </w:rPr>
        <w:t>（阶段性）</w:t>
      </w:r>
      <w:r>
        <w:rPr>
          <w:rFonts w:hint="eastAsia" w:ascii="黑体" w:hAnsi="黑体" w:eastAsia="黑体" w:cs="黑体"/>
          <w:b/>
          <w:color w:val="000000"/>
          <w:kern w:val="0"/>
          <w:sz w:val="36"/>
          <w:szCs w:val="36"/>
        </w:rPr>
        <w:t>竣工环保</w:t>
      </w:r>
      <w:r>
        <w:rPr>
          <w:rFonts w:hint="eastAsia" w:ascii="黑体" w:hAnsi="黑体" w:eastAsia="黑体" w:cs="黑体"/>
          <w:b/>
          <w:color w:val="000000"/>
          <w:kern w:val="0"/>
          <w:sz w:val="36"/>
          <w:szCs w:val="36"/>
          <w:lang w:eastAsia="zh-CN"/>
        </w:rPr>
        <w:t>自主</w:t>
      </w:r>
      <w:r>
        <w:rPr>
          <w:rFonts w:hint="eastAsia" w:ascii="黑体" w:hAnsi="黑体" w:eastAsia="黑体" w:cs="黑体"/>
          <w:b/>
          <w:color w:val="000000"/>
          <w:kern w:val="0"/>
          <w:sz w:val="36"/>
          <w:szCs w:val="36"/>
        </w:rPr>
        <w:t>验收意见</w:t>
      </w:r>
    </w:p>
    <w:p>
      <w:pPr>
        <w:adjustRightInd/>
        <w:snapToGrid/>
        <w:spacing w:beforeAutospacing="0" w:after="0" w:afterAutospacing="0" w:line="360" w:lineRule="auto"/>
        <w:ind w:firstLine="560" w:firstLineChars="200"/>
        <w:jc w:val="both"/>
        <w:outlineLvl w:val="0"/>
        <w:rPr>
          <w:rFonts w:hint="default" w:ascii="Times New Roman" w:hAnsi="Times New Roman" w:eastAsia="宋体" w:cs="Times New Roman"/>
          <w:sz w:val="28"/>
          <w:szCs w:val="28"/>
          <w:lang w:val="en-US" w:eastAsia="zh-CN" w:bidi="ar-SA"/>
        </w:rPr>
      </w:pPr>
      <w:r>
        <w:rPr>
          <w:rFonts w:hint="default" w:ascii="Times New Roman" w:hAnsi="Times New Roman" w:eastAsia="宋体" w:cs="Times New Roman"/>
          <w:sz w:val="28"/>
          <w:szCs w:val="28"/>
          <w:lang w:val="en-US" w:eastAsia="zh-CN" w:bidi="ar-SA"/>
        </w:rPr>
        <w:t>20</w:t>
      </w:r>
      <w:r>
        <w:rPr>
          <w:rFonts w:hint="eastAsia" w:ascii="Times New Roman" w:hAnsi="Times New Roman" w:eastAsia="宋体" w:cs="Times New Roman"/>
          <w:sz w:val="28"/>
          <w:szCs w:val="28"/>
          <w:lang w:val="en-US" w:eastAsia="zh-CN" w:bidi="ar-SA"/>
        </w:rPr>
        <w:t>21</w:t>
      </w:r>
      <w:r>
        <w:rPr>
          <w:rFonts w:hint="default" w:ascii="Times New Roman" w:hAnsi="Times New Roman" w:eastAsia="宋体" w:cs="Times New Roman"/>
          <w:sz w:val="28"/>
          <w:szCs w:val="28"/>
          <w:lang w:val="en-US" w:eastAsia="zh-CN" w:bidi="ar-SA"/>
        </w:rPr>
        <w:t>年</w:t>
      </w:r>
      <w:r>
        <w:rPr>
          <w:rFonts w:hint="eastAsia" w:ascii="Times New Roman" w:hAnsi="Times New Roman" w:eastAsia="宋体" w:cs="Times New Roman"/>
          <w:sz w:val="28"/>
          <w:szCs w:val="28"/>
          <w:lang w:val="en-US" w:eastAsia="zh-CN" w:bidi="ar-SA"/>
        </w:rPr>
        <w:t>6</w:t>
      </w:r>
      <w:r>
        <w:rPr>
          <w:rFonts w:hint="default" w:ascii="Times New Roman" w:hAnsi="Times New Roman" w:eastAsia="宋体" w:cs="Times New Roman"/>
          <w:sz w:val="28"/>
          <w:szCs w:val="28"/>
          <w:lang w:val="en-US" w:eastAsia="zh-CN" w:bidi="ar-SA"/>
        </w:rPr>
        <w:t>月</w:t>
      </w:r>
      <w:r>
        <w:rPr>
          <w:rFonts w:hint="eastAsia" w:ascii="Times New Roman" w:hAnsi="Times New Roman" w:eastAsia="宋体" w:cs="Times New Roman"/>
          <w:sz w:val="28"/>
          <w:szCs w:val="28"/>
          <w:lang w:val="en-US" w:eastAsia="zh-CN" w:bidi="ar-SA"/>
        </w:rPr>
        <w:t>26</w:t>
      </w:r>
      <w:r>
        <w:rPr>
          <w:rFonts w:hint="default" w:ascii="Times New Roman" w:hAnsi="Times New Roman" w:eastAsia="宋体" w:cs="Times New Roman"/>
          <w:sz w:val="28"/>
          <w:szCs w:val="28"/>
          <w:lang w:val="en-US" w:eastAsia="zh-CN" w:bidi="ar-SA"/>
        </w:rPr>
        <w:t>日，</w:t>
      </w:r>
      <w:r>
        <w:rPr>
          <w:rFonts w:hint="eastAsia" w:ascii="Times New Roman" w:hAnsi="Times New Roman" w:eastAsia="宋体" w:cs="Times New Roman"/>
          <w:sz w:val="28"/>
          <w:szCs w:val="28"/>
          <w:lang w:val="en-US" w:eastAsia="zh-CN" w:bidi="ar-SA"/>
        </w:rPr>
        <w:t>明光市沪光建筑材料有限公司</w:t>
      </w:r>
      <w:r>
        <w:rPr>
          <w:rFonts w:hint="default" w:ascii="Times New Roman" w:hAnsi="Times New Roman" w:eastAsia="宋体" w:cs="Times New Roman"/>
          <w:sz w:val="28"/>
          <w:szCs w:val="28"/>
          <w:lang w:val="en-US" w:eastAsia="zh-CN" w:bidi="ar-SA"/>
        </w:rPr>
        <w:t>在</w:t>
      </w:r>
      <w:r>
        <w:rPr>
          <w:rFonts w:hint="eastAsia" w:ascii="Times New Roman" w:hAnsi="Times New Roman" w:eastAsia="宋体" w:cs="Times New Roman"/>
          <w:sz w:val="28"/>
          <w:szCs w:val="28"/>
          <w:lang w:val="en-US" w:eastAsia="zh-CN" w:bidi="ar-SA"/>
        </w:rPr>
        <w:t>公司会议室组织</w:t>
      </w:r>
      <w:r>
        <w:rPr>
          <w:rFonts w:hint="default" w:ascii="Times New Roman" w:hAnsi="Times New Roman" w:eastAsia="宋体" w:cs="Times New Roman"/>
          <w:sz w:val="28"/>
          <w:szCs w:val="28"/>
          <w:lang w:val="en-US" w:eastAsia="zh-CN" w:bidi="ar-SA"/>
        </w:rPr>
        <w:t>召开</w:t>
      </w:r>
      <w:r>
        <w:rPr>
          <w:rFonts w:hint="eastAsia" w:ascii="Times New Roman" w:hAnsi="Times New Roman" w:eastAsia="宋体" w:cs="Times New Roman"/>
          <w:sz w:val="28"/>
          <w:szCs w:val="28"/>
          <w:lang w:val="en-US" w:eastAsia="zh-CN" w:bidi="ar-SA"/>
        </w:rPr>
        <w:t>年产30万立方预拌砂浆、商品混凝土、15万立方PC预制构件项目（阶段性）</w:t>
      </w:r>
      <w:r>
        <w:rPr>
          <w:rFonts w:hint="default" w:ascii="Times New Roman" w:hAnsi="Times New Roman" w:eastAsia="宋体" w:cs="Times New Roman"/>
          <w:sz w:val="28"/>
          <w:szCs w:val="28"/>
          <w:lang w:val="en-US" w:eastAsia="zh-CN" w:bidi="ar-SA"/>
        </w:rPr>
        <w:t>竣工环境保护</w:t>
      </w:r>
      <w:r>
        <w:rPr>
          <w:rFonts w:hint="eastAsia" w:ascii="Times New Roman" w:hAnsi="Times New Roman" w:eastAsia="宋体" w:cs="Times New Roman"/>
          <w:sz w:val="28"/>
          <w:szCs w:val="28"/>
          <w:lang w:val="en-US" w:eastAsia="zh-CN" w:bidi="ar-SA"/>
        </w:rPr>
        <w:t>自主</w:t>
      </w:r>
      <w:r>
        <w:rPr>
          <w:rFonts w:hint="default" w:ascii="Times New Roman" w:hAnsi="Times New Roman" w:eastAsia="宋体" w:cs="Times New Roman"/>
          <w:sz w:val="28"/>
          <w:szCs w:val="28"/>
          <w:lang w:val="en-US" w:eastAsia="zh-CN" w:bidi="ar-SA"/>
        </w:rPr>
        <w:t>验收会，参加会议的</w:t>
      </w:r>
      <w:r>
        <w:rPr>
          <w:rFonts w:hint="eastAsia" w:ascii="Times New Roman" w:hAnsi="Times New Roman" w:eastAsia="宋体" w:cs="Times New Roman"/>
          <w:sz w:val="28"/>
          <w:szCs w:val="28"/>
          <w:lang w:val="en-US" w:eastAsia="zh-CN" w:bidi="ar-SA"/>
        </w:rPr>
        <w:t>有明光市沪光建筑材料有限公司、</w:t>
      </w:r>
      <w:r>
        <w:rPr>
          <w:rFonts w:hint="default" w:ascii="Times New Roman" w:hAnsi="Times New Roman" w:eastAsia="宋体" w:cs="Times New Roman"/>
          <w:sz w:val="28"/>
          <w:szCs w:val="28"/>
          <w:lang w:val="en-US" w:eastAsia="zh-CN" w:bidi="ar-SA"/>
        </w:rPr>
        <w:t>安徽迈峰检测技术有限公司（验收</w:t>
      </w:r>
      <w:r>
        <w:rPr>
          <w:rFonts w:hint="eastAsia" w:ascii="Times New Roman" w:hAnsi="Times New Roman" w:eastAsia="宋体" w:cs="Times New Roman"/>
          <w:sz w:val="28"/>
          <w:szCs w:val="28"/>
          <w:lang w:val="en-US" w:eastAsia="zh-CN" w:bidi="ar-SA"/>
        </w:rPr>
        <w:t>监测</w:t>
      </w:r>
      <w:r>
        <w:rPr>
          <w:rFonts w:hint="default" w:ascii="Times New Roman" w:hAnsi="Times New Roman" w:eastAsia="宋体" w:cs="Times New Roman"/>
          <w:sz w:val="28"/>
          <w:szCs w:val="28"/>
          <w:lang w:val="en-US" w:eastAsia="zh-CN" w:bidi="ar-SA"/>
        </w:rPr>
        <w:t>单位）及行业专家等人</w:t>
      </w:r>
      <w:r>
        <w:rPr>
          <w:rFonts w:hint="default" w:ascii="Times New Roman" w:hAnsi="Times New Roman" w:eastAsia="宋体" w:cs="Times New Roman"/>
          <w:sz w:val="28"/>
          <w:szCs w:val="28"/>
          <w:highlight w:val="none"/>
          <w:lang w:val="en-US" w:eastAsia="zh-CN" w:bidi="ar-SA"/>
        </w:rPr>
        <w:t>员，</w:t>
      </w:r>
      <w:r>
        <w:rPr>
          <w:rFonts w:hint="default" w:ascii="Times New Roman" w:hAnsi="Times New Roman" w:eastAsia="宋体" w:cs="Times New Roman"/>
          <w:color w:val="auto"/>
          <w:sz w:val="28"/>
          <w:szCs w:val="28"/>
          <w:highlight w:val="none"/>
          <w:lang w:val="en-US" w:eastAsia="zh-CN" w:bidi="ar-SA"/>
        </w:rPr>
        <w:t>共</w:t>
      </w:r>
      <w:r>
        <w:rPr>
          <w:rFonts w:hint="eastAsia" w:ascii="Times New Roman" w:hAnsi="Times New Roman" w:eastAsia="宋体" w:cs="Times New Roman"/>
          <w:color w:val="auto"/>
          <w:sz w:val="28"/>
          <w:szCs w:val="28"/>
          <w:highlight w:val="none"/>
          <w:lang w:val="en-US" w:eastAsia="zh-CN" w:bidi="ar-SA"/>
        </w:rPr>
        <w:t>5</w:t>
      </w:r>
      <w:r>
        <w:rPr>
          <w:rFonts w:hint="default" w:ascii="Times New Roman" w:hAnsi="Times New Roman" w:eastAsia="宋体" w:cs="Times New Roman"/>
          <w:color w:val="auto"/>
          <w:sz w:val="28"/>
          <w:szCs w:val="28"/>
          <w:highlight w:val="none"/>
          <w:lang w:val="en-US" w:eastAsia="zh-CN" w:bidi="ar-SA"/>
        </w:rPr>
        <w:t>人。</w:t>
      </w:r>
      <w:r>
        <w:rPr>
          <w:rFonts w:hint="default" w:ascii="Times New Roman" w:hAnsi="Times New Roman" w:eastAsia="宋体" w:cs="Times New Roman"/>
          <w:b w:val="0"/>
          <w:bCs/>
          <w:sz w:val="28"/>
          <w:szCs w:val="28"/>
          <w:lang w:val="en-US" w:eastAsia="zh-CN" w:bidi="ar-SA"/>
        </w:rPr>
        <w:t>与会代表和专家</w:t>
      </w:r>
      <w:r>
        <w:rPr>
          <w:rFonts w:hint="eastAsia" w:ascii="Times New Roman" w:hAnsi="Times New Roman" w:eastAsia="宋体" w:cs="Times New Roman"/>
          <w:b w:val="0"/>
          <w:bCs/>
          <w:sz w:val="28"/>
          <w:szCs w:val="28"/>
          <w:lang w:val="en-US" w:eastAsia="zh-CN" w:bidi="ar-SA"/>
        </w:rPr>
        <w:t>踏勘</w:t>
      </w:r>
      <w:r>
        <w:rPr>
          <w:rFonts w:hint="default" w:ascii="Times New Roman" w:hAnsi="Times New Roman" w:eastAsia="宋体" w:cs="Times New Roman"/>
          <w:b w:val="0"/>
          <w:bCs/>
          <w:sz w:val="28"/>
          <w:szCs w:val="28"/>
          <w:lang w:val="en-US" w:eastAsia="zh-CN" w:bidi="ar-SA"/>
        </w:rPr>
        <w:t>了建设项目现场、听取了建设单位的</w:t>
      </w:r>
      <w:r>
        <w:rPr>
          <w:rFonts w:hint="eastAsia" w:ascii="Times New Roman" w:hAnsi="Times New Roman" w:eastAsia="宋体" w:cs="Times New Roman"/>
          <w:b w:val="0"/>
          <w:bCs/>
          <w:sz w:val="28"/>
          <w:szCs w:val="28"/>
          <w:lang w:val="en-US" w:eastAsia="zh-CN" w:bidi="ar-SA"/>
        </w:rPr>
        <w:t>关于本项目</w:t>
      </w:r>
      <w:r>
        <w:rPr>
          <w:rFonts w:hint="default" w:ascii="Times New Roman" w:hAnsi="Times New Roman" w:eastAsia="宋体" w:cs="Times New Roman"/>
          <w:b w:val="0"/>
          <w:bCs/>
          <w:sz w:val="28"/>
          <w:szCs w:val="28"/>
          <w:lang w:val="en-US" w:eastAsia="zh-CN" w:bidi="ar-SA"/>
        </w:rPr>
        <w:t>情况介绍、验收监测单位的汇报，</w:t>
      </w:r>
      <w:r>
        <w:rPr>
          <w:rFonts w:hint="default" w:ascii="Times New Roman" w:hAnsi="Times New Roman" w:eastAsia="宋体" w:cs="Times New Roman"/>
          <w:sz w:val="28"/>
          <w:szCs w:val="28"/>
          <w:lang w:val="en-US" w:eastAsia="zh-CN" w:bidi="ar-SA"/>
        </w:rPr>
        <w:t>根据《建设项目环境保护管理条例》和《建设项目竣工环境保护验收暂行办法》，严格依照国家有关法律法规、建设项目竣工环境保护验收技术规范、本项目环境影响评价报告表和审批部门审批决定等要求对本项目进行验收，</w:t>
      </w:r>
      <w:r>
        <w:rPr>
          <w:rFonts w:hint="eastAsia" w:ascii="Times New Roman" w:hAnsi="Times New Roman" w:eastAsia="宋体" w:cs="Times New Roman"/>
          <w:sz w:val="28"/>
          <w:szCs w:val="28"/>
          <w:lang w:val="en-US" w:eastAsia="zh-CN" w:bidi="ar-SA"/>
        </w:rPr>
        <w:t>形成</w:t>
      </w:r>
      <w:r>
        <w:rPr>
          <w:rFonts w:hint="default" w:ascii="Times New Roman" w:hAnsi="Times New Roman" w:eastAsia="宋体" w:cs="Times New Roman"/>
          <w:sz w:val="28"/>
          <w:szCs w:val="28"/>
          <w:lang w:val="en-US" w:eastAsia="zh-CN" w:bidi="ar-SA"/>
        </w:rPr>
        <w:t>意见如下：</w:t>
      </w:r>
    </w:p>
    <w:p>
      <w:pPr>
        <w:keepNext w:val="0"/>
        <w:keepLines w:val="0"/>
        <w:pageBreakBefore w:val="0"/>
        <w:widowControl/>
        <w:kinsoku/>
        <w:wordWrap/>
        <w:overflowPunct/>
        <w:topLinePunct w:val="0"/>
        <w:autoSpaceDE/>
        <w:autoSpaceDN/>
        <w:bidi w:val="0"/>
        <w:adjustRightInd/>
        <w:snapToGrid/>
        <w:spacing w:beforeAutospacing="0" w:after="0" w:afterAutospacing="0" w:line="360" w:lineRule="auto"/>
        <w:ind w:firstLine="562" w:firstLineChars="200"/>
        <w:jc w:val="both"/>
        <w:textAlignment w:val="auto"/>
        <w:outlineLvl w:val="0"/>
        <w:rPr>
          <w:rFonts w:ascii="宋体" w:hAnsi="宋体" w:eastAsia="宋体" w:cs="宋体"/>
          <w:b/>
          <w:color w:val="000000"/>
          <w:sz w:val="28"/>
          <w:szCs w:val="28"/>
          <w:lang w:val="en-US" w:eastAsia="zh-CN" w:bidi="ar-SA"/>
        </w:rPr>
      </w:pPr>
      <w:r>
        <w:rPr>
          <w:rFonts w:hint="eastAsia" w:ascii="宋体" w:hAnsi="宋体" w:eastAsia="宋体" w:cs="宋体"/>
          <w:b/>
          <w:color w:val="000000"/>
          <w:sz w:val="28"/>
          <w:szCs w:val="28"/>
          <w:lang w:val="en-US" w:eastAsia="zh-CN" w:bidi="ar-SA"/>
        </w:rPr>
        <w:t>一、工程建设基本情况</w:t>
      </w:r>
    </w:p>
    <w:p>
      <w:pPr>
        <w:keepNext w:val="0"/>
        <w:keepLines w:val="0"/>
        <w:pageBreakBefore w:val="0"/>
        <w:widowControl/>
        <w:kinsoku/>
        <w:wordWrap/>
        <w:overflowPunct/>
        <w:topLinePunct w:val="0"/>
        <w:autoSpaceDE/>
        <w:autoSpaceDN/>
        <w:bidi w:val="0"/>
        <w:adjustRightInd/>
        <w:snapToGrid/>
        <w:spacing w:beforeAutospacing="0" w:after="0" w:afterAutospacing="0" w:line="360" w:lineRule="auto"/>
        <w:ind w:firstLine="560" w:firstLineChars="200"/>
        <w:jc w:val="both"/>
        <w:textAlignment w:val="auto"/>
        <w:outlineLvl w:val="0"/>
        <w:rPr>
          <w:rFonts w:hint="default" w:ascii="Times New Roman" w:hAnsi="Times New Roman" w:eastAsia="宋体" w:cs="Times New Roman"/>
          <w:sz w:val="28"/>
          <w:szCs w:val="28"/>
          <w:lang w:val="en-US" w:eastAsia="zh-CN" w:bidi="ar-SA"/>
        </w:rPr>
      </w:pPr>
      <w:r>
        <w:rPr>
          <w:rFonts w:hint="eastAsia" w:ascii="Times New Roman" w:hAnsi="Times New Roman" w:eastAsia="宋体" w:cs="Times New Roman"/>
          <w:sz w:val="28"/>
          <w:szCs w:val="28"/>
          <w:lang w:val="en-US" w:eastAsia="zh-CN" w:bidi="ar-SA"/>
        </w:rPr>
        <w:t>（一）建设地点、规模、主要建设内容</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jc w:val="both"/>
        <w:textAlignment w:val="auto"/>
        <w:rPr>
          <w:rFonts w:hint="eastAsia" w:ascii="Times New Roman" w:hAnsi="Times New Roman" w:eastAsia="宋体" w:cs="Times New Roman"/>
          <w:i w:val="0"/>
          <w:iCs w:val="0"/>
          <w:kern w:val="0"/>
          <w:sz w:val="28"/>
          <w:szCs w:val="28"/>
          <w:lang w:val="en-US" w:eastAsia="zh-CN" w:bidi="ar-SA"/>
        </w:rPr>
      </w:pPr>
      <w:r>
        <w:rPr>
          <w:rFonts w:hint="eastAsia" w:ascii="Times New Roman" w:hAnsi="Times New Roman" w:eastAsia="宋体" w:cs="Times New Roman"/>
          <w:i w:val="0"/>
          <w:iCs w:val="0"/>
          <w:kern w:val="0"/>
          <w:sz w:val="28"/>
          <w:szCs w:val="28"/>
          <w:lang w:val="en-US" w:eastAsia="zh-CN" w:bidi="ar-SA"/>
        </w:rPr>
        <w:t>项目位于明光市管店镇罗岭工业集中区104国道东侧，占地20000方米。</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jc w:val="both"/>
        <w:textAlignment w:val="auto"/>
        <w:rPr>
          <w:rFonts w:hint="default" w:ascii="Times New Roman" w:hAnsi="Times New Roman" w:eastAsia="宋体" w:cs="Times New Roman"/>
          <w:i w:val="0"/>
          <w:iCs w:val="0"/>
          <w:kern w:val="0"/>
          <w:sz w:val="28"/>
          <w:szCs w:val="28"/>
          <w:lang w:val="en-US" w:eastAsia="zh-CN" w:bidi="ar-SA"/>
        </w:rPr>
      </w:pPr>
      <w:r>
        <w:rPr>
          <w:rFonts w:hint="eastAsia" w:ascii="Times New Roman" w:hAnsi="Times New Roman" w:eastAsia="宋体" w:cs="Times New Roman"/>
          <w:i w:val="0"/>
          <w:iCs w:val="0"/>
          <w:kern w:val="0"/>
          <w:sz w:val="28"/>
          <w:szCs w:val="28"/>
          <w:lang w:val="en-US" w:eastAsia="zh-CN" w:bidi="ar-SA"/>
        </w:rPr>
        <w:t>项目主要建设内容为：新建仓库（1栋1层）、搅拌楼（2栋3层）、办公楼、研发中心楼（1栋3层）和，同时采购相关配套设备；项目投产后形成年产33万立方预拌砂浆、商品混凝土、4万立方PC预制构件的生产能力。</w:t>
      </w:r>
    </w:p>
    <w:p>
      <w:pPr>
        <w:adjustRightInd/>
        <w:snapToGrid/>
        <w:spacing w:beforeAutospacing="0" w:after="0" w:afterAutospacing="0" w:line="360" w:lineRule="auto"/>
        <w:ind w:firstLine="560" w:firstLineChars="200"/>
        <w:jc w:val="both"/>
        <w:outlineLvl w:val="0"/>
        <w:rPr>
          <w:rFonts w:hint="default" w:ascii="Times New Roman" w:hAnsi="Times New Roman" w:eastAsia="宋体" w:cs="Times New Roman"/>
          <w:sz w:val="28"/>
          <w:szCs w:val="28"/>
          <w:lang w:val="en-US" w:eastAsia="zh-CN" w:bidi="ar-SA"/>
        </w:rPr>
      </w:pPr>
      <w:r>
        <w:rPr>
          <w:rFonts w:hint="default" w:ascii="Times New Roman" w:hAnsi="Times New Roman" w:eastAsia="宋体" w:cs="Times New Roman"/>
          <w:sz w:val="28"/>
          <w:szCs w:val="28"/>
          <w:lang w:val="en-US" w:eastAsia="zh-CN" w:bidi="ar-SA"/>
        </w:rPr>
        <w:t>（二）建设过程及环保审批情况</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jc w:val="both"/>
        <w:textAlignment w:val="auto"/>
        <w:rPr>
          <w:rFonts w:hint="eastAsia" w:ascii="Times New Roman" w:hAnsi="Times New Roman" w:eastAsia="宋体" w:cs="Times New Roman"/>
          <w:i w:val="0"/>
          <w:iCs w:val="0"/>
          <w:kern w:val="0"/>
          <w:sz w:val="28"/>
          <w:szCs w:val="28"/>
          <w:lang w:eastAsia="zh-CN"/>
        </w:rPr>
      </w:pPr>
      <w:r>
        <w:rPr>
          <w:rFonts w:hint="eastAsia" w:ascii="Times New Roman" w:hAnsi="Times New Roman" w:eastAsia="宋体" w:cs="Times New Roman"/>
          <w:i w:val="0"/>
          <w:iCs w:val="0"/>
          <w:kern w:val="0"/>
          <w:sz w:val="28"/>
          <w:szCs w:val="28"/>
          <w:lang w:val="en-US" w:eastAsia="zh-CN" w:bidi="ar-SA"/>
        </w:rPr>
        <w:t>2017年8月21日，明光市经济和信息化委员会文件明经信字[2017]164号文对明光市沪光建筑材料有限公司年产 30 万立方预拌砂浆、商品混凝</w:t>
      </w:r>
      <w:r>
        <w:rPr>
          <w:rFonts w:hint="eastAsia" w:ascii="Times New Roman" w:hAnsi="Times New Roman" w:eastAsia="宋体" w:cs="Times New Roman"/>
          <w:i w:val="0"/>
          <w:iCs w:val="0"/>
          <w:kern w:val="0"/>
          <w:sz w:val="28"/>
          <w:szCs w:val="28"/>
          <w:lang w:val="en-US" w:eastAsia="zh-CN"/>
        </w:rPr>
        <w:t>土、15 万立方 PC 预制构件项 目进行备案</w:t>
      </w:r>
      <w:r>
        <w:rPr>
          <w:rFonts w:hint="eastAsia" w:ascii="Times New Roman" w:hAnsi="Times New Roman" w:eastAsia="宋体" w:cs="Times New Roman"/>
          <w:i w:val="0"/>
          <w:iCs w:val="0"/>
          <w:kern w:val="0"/>
          <w:sz w:val="28"/>
          <w:szCs w:val="28"/>
          <w:lang w:eastAsia="zh-CN"/>
        </w:rPr>
        <w:t>，201</w:t>
      </w:r>
      <w:r>
        <w:rPr>
          <w:rFonts w:hint="eastAsia" w:ascii="Times New Roman" w:hAnsi="Times New Roman" w:eastAsia="宋体" w:cs="Times New Roman"/>
          <w:i w:val="0"/>
          <w:iCs w:val="0"/>
          <w:kern w:val="0"/>
          <w:sz w:val="28"/>
          <w:szCs w:val="28"/>
          <w:lang w:val="en-US" w:eastAsia="zh-CN"/>
        </w:rPr>
        <w:t>8</w:t>
      </w:r>
      <w:r>
        <w:rPr>
          <w:rFonts w:hint="eastAsia" w:ascii="Times New Roman" w:hAnsi="Times New Roman" w:eastAsia="宋体" w:cs="Times New Roman"/>
          <w:i w:val="0"/>
          <w:iCs w:val="0"/>
          <w:kern w:val="0"/>
          <w:sz w:val="28"/>
          <w:szCs w:val="28"/>
          <w:lang w:eastAsia="zh-CN"/>
        </w:rPr>
        <w:t>年</w:t>
      </w:r>
      <w:r>
        <w:rPr>
          <w:rFonts w:hint="eastAsia" w:ascii="Times New Roman" w:hAnsi="Times New Roman" w:eastAsia="宋体" w:cs="Times New Roman"/>
          <w:i w:val="0"/>
          <w:iCs w:val="0"/>
          <w:kern w:val="0"/>
          <w:sz w:val="28"/>
          <w:szCs w:val="28"/>
          <w:lang w:val="en-US" w:eastAsia="zh-CN"/>
        </w:rPr>
        <w:t>1</w:t>
      </w:r>
      <w:r>
        <w:rPr>
          <w:rFonts w:hint="eastAsia" w:ascii="Times New Roman" w:hAnsi="Times New Roman" w:eastAsia="宋体" w:cs="Times New Roman"/>
          <w:i w:val="0"/>
          <w:iCs w:val="0"/>
          <w:kern w:val="0"/>
          <w:sz w:val="28"/>
          <w:szCs w:val="28"/>
          <w:lang w:eastAsia="zh-CN"/>
        </w:rPr>
        <w:t>月明光市沪光建筑材料有限公司委托</w:t>
      </w:r>
      <w:r>
        <w:rPr>
          <w:rFonts w:hint="eastAsia" w:ascii="Times New Roman" w:hAnsi="Times New Roman" w:eastAsia="宋体" w:cs="Times New Roman"/>
          <w:i w:val="0"/>
          <w:iCs w:val="0"/>
          <w:kern w:val="0"/>
          <w:sz w:val="28"/>
          <w:szCs w:val="28"/>
          <w:lang w:val="en-US" w:eastAsia="zh-CN"/>
        </w:rPr>
        <w:t>亳州市中环环境科技有限责任公司</w:t>
      </w:r>
      <w:r>
        <w:rPr>
          <w:rFonts w:hint="eastAsia" w:ascii="Times New Roman" w:hAnsi="Times New Roman" w:eastAsia="宋体" w:cs="Times New Roman"/>
          <w:i w:val="0"/>
          <w:iCs w:val="0"/>
          <w:kern w:val="0"/>
          <w:sz w:val="28"/>
          <w:szCs w:val="28"/>
          <w:lang w:eastAsia="zh-CN"/>
        </w:rPr>
        <w:t>对该项目进行环境影响评价，编制完成《明光市沪光建筑材料有限公司年产30万立方预拌砂浆、商品混凝土、15万立方PC预制构件项目环境影响报告表》，并于20</w:t>
      </w:r>
      <w:r>
        <w:rPr>
          <w:rFonts w:hint="eastAsia" w:ascii="Times New Roman" w:hAnsi="Times New Roman" w:eastAsia="宋体" w:cs="Times New Roman"/>
          <w:i w:val="0"/>
          <w:iCs w:val="0"/>
          <w:kern w:val="0"/>
          <w:sz w:val="28"/>
          <w:szCs w:val="28"/>
          <w:lang w:val="en-US" w:eastAsia="zh-CN"/>
        </w:rPr>
        <w:t>18</w:t>
      </w:r>
      <w:r>
        <w:rPr>
          <w:rFonts w:hint="eastAsia" w:ascii="Times New Roman" w:hAnsi="Times New Roman" w:eastAsia="宋体" w:cs="Times New Roman"/>
          <w:i w:val="0"/>
          <w:iCs w:val="0"/>
          <w:kern w:val="0"/>
          <w:sz w:val="28"/>
          <w:szCs w:val="28"/>
          <w:lang w:eastAsia="zh-CN"/>
        </w:rPr>
        <w:t>年</w:t>
      </w:r>
      <w:r>
        <w:rPr>
          <w:rFonts w:hint="eastAsia" w:ascii="Times New Roman" w:hAnsi="Times New Roman" w:eastAsia="宋体" w:cs="Times New Roman"/>
          <w:i w:val="0"/>
          <w:iCs w:val="0"/>
          <w:kern w:val="0"/>
          <w:sz w:val="28"/>
          <w:szCs w:val="28"/>
          <w:lang w:val="en-US" w:eastAsia="zh-CN"/>
        </w:rPr>
        <w:t>3</w:t>
      </w:r>
      <w:r>
        <w:rPr>
          <w:rFonts w:hint="eastAsia" w:ascii="Times New Roman" w:hAnsi="Times New Roman" w:eastAsia="宋体" w:cs="Times New Roman"/>
          <w:i w:val="0"/>
          <w:iCs w:val="0"/>
          <w:kern w:val="0"/>
          <w:sz w:val="28"/>
          <w:szCs w:val="28"/>
          <w:lang w:eastAsia="zh-CN"/>
        </w:rPr>
        <w:t>月</w:t>
      </w:r>
      <w:r>
        <w:rPr>
          <w:rFonts w:hint="eastAsia" w:ascii="Times New Roman" w:hAnsi="Times New Roman" w:eastAsia="宋体" w:cs="Times New Roman"/>
          <w:i w:val="0"/>
          <w:iCs w:val="0"/>
          <w:kern w:val="0"/>
          <w:sz w:val="28"/>
          <w:szCs w:val="28"/>
          <w:lang w:val="en-US" w:eastAsia="zh-CN"/>
        </w:rPr>
        <w:t>2</w:t>
      </w:r>
      <w:r>
        <w:rPr>
          <w:rFonts w:hint="eastAsia" w:ascii="Times New Roman" w:hAnsi="Times New Roman" w:eastAsia="宋体" w:cs="Times New Roman"/>
          <w:i w:val="0"/>
          <w:iCs w:val="0"/>
          <w:kern w:val="0"/>
          <w:sz w:val="28"/>
          <w:szCs w:val="28"/>
          <w:lang w:eastAsia="zh-CN"/>
        </w:rPr>
        <w:t>日获得</w:t>
      </w:r>
      <w:r>
        <w:rPr>
          <w:rFonts w:hint="eastAsia" w:ascii="Times New Roman" w:hAnsi="Times New Roman" w:eastAsia="宋体" w:cs="Times New Roman"/>
          <w:i w:val="0"/>
          <w:iCs w:val="0"/>
          <w:kern w:val="0"/>
          <w:sz w:val="28"/>
          <w:szCs w:val="28"/>
          <w:lang w:val="en-US" w:eastAsia="zh-CN"/>
        </w:rPr>
        <w:t>明光市环保局行政审批股</w:t>
      </w:r>
      <w:r>
        <w:rPr>
          <w:rFonts w:hint="eastAsia" w:ascii="Times New Roman" w:hAnsi="Times New Roman" w:eastAsia="宋体" w:cs="Times New Roman"/>
          <w:i w:val="0"/>
          <w:iCs w:val="0"/>
          <w:kern w:val="0"/>
          <w:sz w:val="28"/>
          <w:szCs w:val="28"/>
          <w:lang w:eastAsia="zh-CN"/>
        </w:rPr>
        <w:t>《关于明光市沪光建筑材料有限公司年产30万立方预拌砂浆、商品混凝土、15万立方PC预制构件项目环境影响报告表的批复》（明环评〔20</w:t>
      </w:r>
      <w:r>
        <w:rPr>
          <w:rFonts w:hint="eastAsia" w:ascii="Times New Roman" w:hAnsi="Times New Roman" w:eastAsia="宋体" w:cs="Times New Roman"/>
          <w:i w:val="0"/>
          <w:iCs w:val="0"/>
          <w:kern w:val="0"/>
          <w:sz w:val="28"/>
          <w:szCs w:val="28"/>
          <w:lang w:val="en-US" w:eastAsia="zh-CN"/>
        </w:rPr>
        <w:t>18</w:t>
      </w:r>
      <w:r>
        <w:rPr>
          <w:rFonts w:hint="eastAsia" w:ascii="Times New Roman" w:hAnsi="Times New Roman" w:eastAsia="宋体" w:cs="Times New Roman"/>
          <w:i w:val="0"/>
          <w:iCs w:val="0"/>
          <w:kern w:val="0"/>
          <w:sz w:val="28"/>
          <w:szCs w:val="28"/>
          <w:lang w:eastAsia="zh-CN"/>
        </w:rPr>
        <w:t>〕</w:t>
      </w:r>
      <w:r>
        <w:rPr>
          <w:rFonts w:hint="eastAsia" w:ascii="Times New Roman" w:hAnsi="Times New Roman" w:eastAsia="宋体" w:cs="Times New Roman"/>
          <w:i w:val="0"/>
          <w:iCs w:val="0"/>
          <w:kern w:val="0"/>
          <w:sz w:val="28"/>
          <w:szCs w:val="28"/>
          <w:lang w:val="en-US" w:eastAsia="zh-CN"/>
        </w:rPr>
        <w:t>8</w:t>
      </w:r>
      <w:r>
        <w:rPr>
          <w:rFonts w:hint="eastAsia" w:ascii="Times New Roman" w:hAnsi="Times New Roman" w:eastAsia="宋体" w:cs="Times New Roman"/>
          <w:i w:val="0"/>
          <w:iCs w:val="0"/>
          <w:kern w:val="0"/>
          <w:sz w:val="28"/>
          <w:szCs w:val="28"/>
          <w:lang w:eastAsia="zh-CN"/>
        </w:rPr>
        <w:t>号），同意该项目的建设。</w:t>
      </w:r>
    </w:p>
    <w:p>
      <w:pPr>
        <w:adjustRightInd/>
        <w:snapToGrid/>
        <w:spacing w:beforeAutospacing="0" w:after="0" w:afterAutospacing="0" w:line="360" w:lineRule="auto"/>
        <w:ind w:firstLine="560" w:firstLineChars="200"/>
        <w:jc w:val="both"/>
        <w:outlineLvl w:val="0"/>
        <w:rPr>
          <w:rFonts w:hint="default" w:ascii="Times New Roman" w:hAnsi="Times New Roman" w:eastAsia="宋体" w:cs="Times New Roman"/>
          <w:sz w:val="28"/>
          <w:szCs w:val="28"/>
          <w:lang w:val="en-US" w:eastAsia="zh-CN" w:bidi="ar-SA"/>
        </w:rPr>
      </w:pPr>
      <w:r>
        <w:rPr>
          <w:rFonts w:hint="default" w:ascii="Times New Roman" w:hAnsi="Times New Roman" w:eastAsia="宋体" w:cs="Times New Roman"/>
          <w:sz w:val="28"/>
          <w:szCs w:val="28"/>
          <w:lang w:val="en-US" w:eastAsia="zh-CN" w:bidi="ar-SA"/>
        </w:rPr>
        <w:t>（三）投资情况</w:t>
      </w:r>
    </w:p>
    <w:p>
      <w:pPr>
        <w:adjustRightInd/>
        <w:snapToGrid/>
        <w:spacing w:beforeAutospacing="0" w:after="0" w:afterAutospacing="0" w:line="360" w:lineRule="auto"/>
        <w:ind w:firstLine="560" w:firstLineChars="200"/>
        <w:jc w:val="both"/>
        <w:outlineLvl w:val="0"/>
        <w:rPr>
          <w:rFonts w:hint="default" w:ascii="Times New Roman" w:hAnsi="Times New Roman" w:eastAsia="宋体" w:cs="Times New Roman"/>
          <w:sz w:val="28"/>
          <w:szCs w:val="28"/>
          <w:lang w:val="en-US" w:eastAsia="zh-CN" w:bidi="ar-SA"/>
        </w:rPr>
      </w:pPr>
      <w:r>
        <w:rPr>
          <w:rFonts w:hint="default" w:ascii="Times New Roman" w:hAnsi="Times New Roman" w:eastAsia="宋体" w:cs="Times New Roman"/>
          <w:sz w:val="28"/>
          <w:szCs w:val="28"/>
          <w:lang w:val="en-US" w:eastAsia="zh-CN" w:bidi="ar-SA"/>
        </w:rPr>
        <w:t>工程实际总投资：总投资</w:t>
      </w:r>
      <w:r>
        <w:rPr>
          <w:rFonts w:hint="eastAsia" w:ascii="Times New Roman" w:hAnsi="Times New Roman" w:eastAsia="宋体" w:cs="Times New Roman"/>
          <w:sz w:val="28"/>
          <w:szCs w:val="28"/>
          <w:lang w:val="en-US" w:eastAsia="zh-CN" w:bidi="ar-SA"/>
        </w:rPr>
        <w:t>50</w:t>
      </w:r>
      <w:r>
        <w:rPr>
          <w:rFonts w:hint="default" w:ascii="Times New Roman" w:hAnsi="Times New Roman" w:eastAsia="宋体" w:cs="Times New Roman"/>
          <w:sz w:val="28"/>
          <w:szCs w:val="28"/>
          <w:lang w:val="en-US" w:eastAsia="zh-CN" w:bidi="ar-SA"/>
        </w:rPr>
        <w:t>00万元，其中环保投资</w:t>
      </w:r>
      <w:r>
        <w:rPr>
          <w:rFonts w:hint="eastAsia" w:ascii="Times New Roman" w:hAnsi="Times New Roman" w:eastAsia="宋体" w:cs="Times New Roman"/>
          <w:sz w:val="28"/>
          <w:szCs w:val="28"/>
          <w:lang w:val="en-US" w:eastAsia="zh-CN" w:bidi="ar-SA"/>
        </w:rPr>
        <w:t>45</w:t>
      </w:r>
      <w:r>
        <w:rPr>
          <w:rFonts w:hint="default" w:ascii="Times New Roman" w:hAnsi="Times New Roman" w:eastAsia="宋体" w:cs="Times New Roman"/>
          <w:sz w:val="28"/>
          <w:szCs w:val="28"/>
          <w:lang w:val="en-US" w:eastAsia="zh-CN" w:bidi="ar-SA"/>
        </w:rPr>
        <w:t>万元，环保投资占总投资的</w:t>
      </w:r>
      <w:r>
        <w:rPr>
          <w:rFonts w:hint="eastAsia" w:ascii="Times New Roman" w:hAnsi="Times New Roman" w:eastAsia="宋体" w:cs="Times New Roman"/>
          <w:sz w:val="28"/>
          <w:szCs w:val="28"/>
          <w:lang w:val="en-US" w:eastAsia="zh-CN" w:bidi="ar-SA"/>
        </w:rPr>
        <w:t>0.9</w:t>
      </w:r>
      <w:r>
        <w:rPr>
          <w:rFonts w:hint="default" w:ascii="Times New Roman" w:hAnsi="Times New Roman" w:eastAsia="宋体" w:cs="Times New Roman"/>
          <w:sz w:val="28"/>
          <w:szCs w:val="28"/>
          <w:lang w:val="en-US" w:eastAsia="zh-CN" w:bidi="ar-SA"/>
        </w:rPr>
        <w:t>%；</w:t>
      </w:r>
    </w:p>
    <w:p>
      <w:pPr>
        <w:adjustRightInd/>
        <w:snapToGrid/>
        <w:spacing w:beforeAutospacing="0" w:after="0" w:afterAutospacing="0" w:line="360" w:lineRule="auto"/>
        <w:ind w:firstLine="560" w:firstLineChars="200"/>
        <w:jc w:val="both"/>
        <w:outlineLvl w:val="0"/>
        <w:rPr>
          <w:rFonts w:hint="default" w:ascii="Times New Roman" w:hAnsi="Times New Roman" w:eastAsia="宋体" w:cs="Times New Roman"/>
          <w:sz w:val="28"/>
          <w:szCs w:val="28"/>
          <w:lang w:val="en-US" w:eastAsia="zh-CN" w:bidi="ar-SA"/>
        </w:rPr>
      </w:pPr>
      <w:r>
        <w:rPr>
          <w:rFonts w:hint="default" w:ascii="Times New Roman" w:hAnsi="Times New Roman" w:eastAsia="宋体" w:cs="Times New Roman"/>
          <w:sz w:val="28"/>
          <w:szCs w:val="28"/>
          <w:lang w:val="en-US" w:eastAsia="zh-CN" w:bidi="ar-SA"/>
        </w:rPr>
        <w:t>（四）验收范围</w:t>
      </w:r>
    </w:p>
    <w:p>
      <w:pPr>
        <w:adjustRightInd/>
        <w:snapToGrid/>
        <w:spacing w:beforeAutospacing="0" w:after="0" w:afterAutospacing="0" w:line="360" w:lineRule="auto"/>
        <w:ind w:firstLine="562" w:firstLineChars="200"/>
        <w:jc w:val="both"/>
        <w:outlineLvl w:val="0"/>
        <w:rPr>
          <w:rFonts w:hint="default" w:ascii="Times New Roman" w:hAnsi="Times New Roman" w:eastAsia="宋体" w:cs="Times New Roman"/>
          <w:b/>
          <w:bCs/>
          <w:sz w:val="28"/>
          <w:szCs w:val="28"/>
          <w:lang w:val="en-US" w:eastAsia="zh-CN" w:bidi="ar-SA"/>
        </w:rPr>
      </w:pPr>
      <w:r>
        <w:rPr>
          <w:rFonts w:hint="eastAsia" w:ascii="Times New Roman" w:hAnsi="Times New Roman" w:eastAsia="宋体" w:cs="Times New Roman"/>
          <w:b/>
          <w:bCs/>
          <w:sz w:val="28"/>
          <w:szCs w:val="28"/>
          <w:lang w:val="en-US" w:eastAsia="zh-CN" w:bidi="ar-SA"/>
        </w:rPr>
        <w:t>本</w:t>
      </w:r>
      <w:r>
        <w:rPr>
          <w:rFonts w:hint="default" w:ascii="Times New Roman" w:hAnsi="Times New Roman" w:eastAsia="宋体" w:cs="Times New Roman"/>
          <w:b/>
          <w:bCs/>
          <w:sz w:val="28"/>
          <w:szCs w:val="28"/>
          <w:lang w:val="en-US" w:eastAsia="zh-CN" w:bidi="ar-SA"/>
        </w:rPr>
        <w:t>次验收范围为已建成的</w:t>
      </w:r>
      <w:r>
        <w:rPr>
          <w:rFonts w:hint="eastAsia" w:ascii="Times New Roman" w:hAnsi="Times New Roman" w:eastAsia="宋体" w:cs="Times New Roman"/>
          <w:b/>
          <w:bCs/>
          <w:sz w:val="28"/>
          <w:szCs w:val="28"/>
          <w:lang w:val="en-US" w:eastAsia="zh-CN" w:bidi="ar-SA"/>
        </w:rPr>
        <w:t>年产33万立方预拌砂浆、商品混凝土、4万立方PC预制构件及配套的</w:t>
      </w:r>
      <w:r>
        <w:rPr>
          <w:rFonts w:hint="default" w:ascii="Times New Roman" w:hAnsi="Times New Roman" w:eastAsia="宋体" w:cs="Times New Roman"/>
          <w:b/>
          <w:bCs/>
          <w:sz w:val="28"/>
          <w:szCs w:val="28"/>
          <w:lang w:val="en-US" w:eastAsia="zh-CN" w:bidi="ar-SA"/>
        </w:rPr>
        <w:t>相关主体工程、辅助工程、公用工程及环保工程</w:t>
      </w:r>
      <w:r>
        <w:rPr>
          <w:rFonts w:hint="eastAsia" w:ascii="Times New Roman" w:hAnsi="Times New Roman" w:eastAsia="宋体" w:cs="Times New Roman"/>
          <w:b/>
          <w:bCs/>
          <w:sz w:val="28"/>
          <w:szCs w:val="28"/>
          <w:lang w:val="en-US" w:eastAsia="zh-CN" w:bidi="ar-SA"/>
        </w:rPr>
        <w:t>的阶段性验收，环评设计的干混砂浆生产线实际未建设，不在本次验收范围</w:t>
      </w:r>
      <w:r>
        <w:rPr>
          <w:rFonts w:hint="default" w:ascii="Times New Roman" w:hAnsi="Times New Roman" w:eastAsia="宋体" w:cs="Times New Roman"/>
          <w:b/>
          <w:bCs/>
          <w:sz w:val="28"/>
          <w:szCs w:val="28"/>
          <w:lang w:val="en-US" w:eastAsia="zh-CN" w:bidi="ar-SA"/>
        </w:rPr>
        <w:t>。</w:t>
      </w:r>
    </w:p>
    <w:p>
      <w:pPr>
        <w:adjustRightInd/>
        <w:snapToGrid/>
        <w:spacing w:beforeAutospacing="0" w:after="0" w:afterAutospacing="0" w:line="360" w:lineRule="auto"/>
        <w:ind w:firstLine="562" w:firstLineChars="200"/>
        <w:jc w:val="both"/>
        <w:outlineLvl w:val="0"/>
        <w:rPr>
          <w:rFonts w:hint="default" w:ascii="Times New Roman" w:hAnsi="Times New Roman" w:eastAsia="宋体" w:cs="Times New Roman"/>
          <w:b/>
          <w:color w:val="000000"/>
          <w:sz w:val="28"/>
          <w:szCs w:val="28"/>
          <w:lang w:val="en-US" w:eastAsia="zh-CN" w:bidi="ar-SA"/>
        </w:rPr>
      </w:pPr>
      <w:r>
        <w:rPr>
          <w:rFonts w:hint="eastAsia" w:ascii="Times New Roman" w:hAnsi="Times New Roman" w:eastAsia="宋体" w:cs="Times New Roman"/>
          <w:b/>
          <w:color w:val="000000"/>
          <w:sz w:val="28"/>
          <w:szCs w:val="28"/>
          <w:lang w:val="en-US" w:eastAsia="zh-CN" w:bidi="ar-SA"/>
        </w:rPr>
        <w:t>五</w:t>
      </w:r>
      <w:r>
        <w:rPr>
          <w:rFonts w:hint="default" w:ascii="Times New Roman" w:hAnsi="Times New Roman" w:eastAsia="宋体" w:cs="Times New Roman"/>
          <w:b/>
          <w:color w:val="000000"/>
          <w:sz w:val="28"/>
          <w:szCs w:val="28"/>
          <w:lang w:val="en-US" w:eastAsia="zh-CN" w:bidi="ar-SA"/>
        </w:rPr>
        <w:t>、工程变动情况</w:t>
      </w:r>
    </w:p>
    <w:p>
      <w:pPr>
        <w:keepNext w:val="0"/>
        <w:keepLines w:val="0"/>
        <w:pageBreakBefore w:val="0"/>
        <w:widowControl w:val="0"/>
        <w:kinsoku/>
        <w:wordWrap/>
        <w:overflowPunct/>
        <w:topLinePunct w:val="0"/>
        <w:autoSpaceDE/>
        <w:autoSpaceDN/>
        <w:bidi w:val="0"/>
        <w:adjustRightInd/>
        <w:snapToGrid/>
        <w:spacing w:after="0" w:line="360" w:lineRule="auto"/>
        <w:ind w:firstLine="560" w:firstLineChars="200"/>
        <w:jc w:val="left"/>
        <w:textAlignment w:val="auto"/>
        <w:rPr>
          <w:rFonts w:hint="default" w:ascii="Times New Roman" w:hAnsi="Times New Roman" w:eastAsia="宋体" w:cs="Times New Roman"/>
          <w:i w:val="0"/>
          <w:iCs w:val="0"/>
          <w:color w:val="auto"/>
          <w:kern w:val="0"/>
          <w:sz w:val="28"/>
          <w:szCs w:val="28"/>
          <w:lang w:val="en-US" w:eastAsia="zh-CN" w:bidi="ar-SA"/>
        </w:rPr>
      </w:pPr>
      <w:r>
        <w:rPr>
          <w:rFonts w:hint="default" w:ascii="Times New Roman" w:hAnsi="Times New Roman" w:eastAsia="宋体" w:cs="Times New Roman"/>
          <w:i w:val="0"/>
          <w:iCs w:val="0"/>
          <w:color w:val="auto"/>
          <w:kern w:val="0"/>
          <w:sz w:val="28"/>
          <w:szCs w:val="28"/>
          <w:lang w:val="en-US" w:eastAsia="zh-CN" w:bidi="ar-SA"/>
        </w:rPr>
        <w:t>参考滁州市环保局《关于进一步规范建设项目环境影响评价文件审批服务工作的通知》（滁环评函</w:t>
      </w:r>
      <w:r>
        <w:rPr>
          <w:rFonts w:hint="eastAsia" w:ascii="宋体" w:hAnsi="宋体" w:eastAsia="宋体" w:cs="宋体"/>
          <w:i w:val="0"/>
          <w:iCs w:val="0"/>
          <w:color w:val="auto"/>
          <w:kern w:val="0"/>
          <w:sz w:val="28"/>
          <w:szCs w:val="28"/>
          <w:lang w:val="en-US" w:eastAsia="zh-CN" w:bidi="ar-SA"/>
        </w:rPr>
        <w:t>〔</w:t>
      </w:r>
      <w:r>
        <w:rPr>
          <w:rFonts w:hint="default" w:ascii="Times New Roman" w:hAnsi="Times New Roman" w:eastAsia="宋体" w:cs="Times New Roman"/>
          <w:i w:val="0"/>
          <w:iCs w:val="0"/>
          <w:color w:val="auto"/>
          <w:kern w:val="0"/>
          <w:sz w:val="28"/>
          <w:szCs w:val="28"/>
          <w:lang w:val="en-US" w:eastAsia="zh-CN" w:bidi="ar-SA"/>
        </w:rPr>
        <w:t>2017</w:t>
      </w:r>
      <w:r>
        <w:rPr>
          <w:rFonts w:hint="eastAsia" w:ascii="宋体" w:hAnsi="宋体" w:eastAsia="宋体" w:cs="宋体"/>
          <w:i w:val="0"/>
          <w:iCs w:val="0"/>
          <w:color w:val="auto"/>
          <w:kern w:val="0"/>
          <w:sz w:val="28"/>
          <w:szCs w:val="28"/>
          <w:lang w:val="en-US" w:eastAsia="zh-CN" w:bidi="ar-SA"/>
        </w:rPr>
        <w:t>〕</w:t>
      </w:r>
      <w:r>
        <w:rPr>
          <w:rFonts w:hint="default" w:ascii="Times New Roman" w:hAnsi="Times New Roman" w:eastAsia="宋体" w:cs="Times New Roman"/>
          <w:i w:val="0"/>
          <w:iCs w:val="0"/>
          <w:color w:val="auto"/>
          <w:kern w:val="0"/>
          <w:sz w:val="28"/>
          <w:szCs w:val="28"/>
          <w:lang w:val="en-US" w:eastAsia="zh-CN" w:bidi="ar-SA"/>
        </w:rPr>
        <w:t>75号）和《关于印发污染影响类建设项目重大变动清单的通知》（生态环境部办公厅文件，环办环评函〔20</w:t>
      </w:r>
      <w:r>
        <w:rPr>
          <w:rFonts w:hint="eastAsia" w:ascii="Times New Roman" w:hAnsi="Times New Roman" w:eastAsia="宋体" w:cs="Times New Roman"/>
          <w:i w:val="0"/>
          <w:iCs w:val="0"/>
          <w:color w:val="auto"/>
          <w:kern w:val="0"/>
          <w:sz w:val="28"/>
          <w:szCs w:val="28"/>
          <w:lang w:val="en-US" w:eastAsia="zh-CN" w:bidi="ar-SA"/>
        </w:rPr>
        <w:t>20</w:t>
      </w:r>
      <w:r>
        <w:rPr>
          <w:rFonts w:hint="default" w:ascii="Times New Roman" w:hAnsi="Times New Roman" w:eastAsia="宋体" w:cs="Times New Roman"/>
          <w:i w:val="0"/>
          <w:iCs w:val="0"/>
          <w:color w:val="auto"/>
          <w:kern w:val="0"/>
          <w:sz w:val="28"/>
          <w:szCs w:val="28"/>
          <w:lang w:val="en-US" w:eastAsia="zh-CN" w:bidi="ar-SA"/>
        </w:rPr>
        <w:t>〕688号）的规定和要求，该公司新建项目建设内容调整不涉及以下方面的变化：</w:t>
      </w:r>
    </w:p>
    <w:p>
      <w:pPr>
        <w:keepNext w:val="0"/>
        <w:keepLines w:val="0"/>
        <w:pageBreakBefore w:val="0"/>
        <w:widowControl w:val="0"/>
        <w:kinsoku/>
        <w:wordWrap/>
        <w:overflowPunct/>
        <w:topLinePunct w:val="0"/>
        <w:autoSpaceDE/>
        <w:autoSpaceDN/>
        <w:bidi w:val="0"/>
        <w:adjustRightInd/>
        <w:snapToGrid/>
        <w:spacing w:after="0" w:line="360" w:lineRule="auto"/>
        <w:ind w:firstLine="560" w:firstLineChars="200"/>
        <w:jc w:val="left"/>
        <w:textAlignment w:val="auto"/>
        <w:rPr>
          <w:rFonts w:hint="default" w:ascii="Times New Roman" w:hAnsi="Times New Roman" w:eastAsia="宋体" w:cs="Times New Roman"/>
          <w:i w:val="0"/>
          <w:iCs w:val="0"/>
          <w:color w:val="auto"/>
          <w:kern w:val="0"/>
          <w:sz w:val="28"/>
          <w:szCs w:val="28"/>
          <w:lang w:val="en-US" w:eastAsia="zh-CN" w:bidi="ar-SA"/>
        </w:rPr>
      </w:pPr>
      <w:r>
        <w:rPr>
          <w:rFonts w:hint="default" w:ascii="Times New Roman" w:hAnsi="Times New Roman" w:eastAsia="宋体" w:cs="Times New Roman"/>
          <w:i w:val="0"/>
          <w:iCs w:val="0"/>
          <w:color w:val="auto"/>
          <w:kern w:val="0"/>
          <w:sz w:val="28"/>
          <w:szCs w:val="28"/>
          <w:lang w:val="en-US" w:eastAsia="zh-CN" w:bidi="ar-SA"/>
        </w:rPr>
        <w:t>（1）项目的性质，产品品种未发生变化；</w:t>
      </w:r>
    </w:p>
    <w:p>
      <w:pPr>
        <w:keepNext w:val="0"/>
        <w:keepLines w:val="0"/>
        <w:pageBreakBefore w:val="0"/>
        <w:widowControl w:val="0"/>
        <w:kinsoku/>
        <w:wordWrap/>
        <w:overflowPunct/>
        <w:topLinePunct w:val="0"/>
        <w:autoSpaceDE/>
        <w:autoSpaceDN/>
        <w:bidi w:val="0"/>
        <w:adjustRightInd/>
        <w:snapToGrid/>
        <w:spacing w:after="0" w:line="360" w:lineRule="auto"/>
        <w:ind w:firstLine="560" w:firstLineChars="200"/>
        <w:jc w:val="left"/>
        <w:textAlignment w:val="auto"/>
        <w:rPr>
          <w:rFonts w:hint="default" w:ascii="Times New Roman" w:hAnsi="Times New Roman" w:eastAsia="宋体" w:cs="Times New Roman"/>
          <w:i w:val="0"/>
          <w:iCs w:val="0"/>
          <w:color w:val="auto"/>
          <w:kern w:val="0"/>
          <w:sz w:val="28"/>
          <w:szCs w:val="28"/>
          <w:lang w:val="en-US" w:eastAsia="zh-CN" w:bidi="ar-SA"/>
        </w:rPr>
      </w:pPr>
      <w:r>
        <w:rPr>
          <w:rFonts w:hint="default" w:ascii="Times New Roman" w:hAnsi="Times New Roman" w:eastAsia="宋体" w:cs="Times New Roman"/>
          <w:i w:val="0"/>
          <w:iCs w:val="0"/>
          <w:color w:val="auto"/>
          <w:kern w:val="0"/>
          <w:sz w:val="28"/>
          <w:szCs w:val="28"/>
          <w:lang w:val="en-US" w:eastAsia="zh-CN" w:bidi="ar-SA"/>
        </w:rPr>
        <w:t>（2）项目的规模，生产规模不增加；</w:t>
      </w:r>
    </w:p>
    <w:p>
      <w:pPr>
        <w:keepNext w:val="0"/>
        <w:keepLines w:val="0"/>
        <w:pageBreakBefore w:val="0"/>
        <w:widowControl w:val="0"/>
        <w:kinsoku/>
        <w:wordWrap/>
        <w:overflowPunct/>
        <w:topLinePunct w:val="0"/>
        <w:autoSpaceDE/>
        <w:autoSpaceDN/>
        <w:bidi w:val="0"/>
        <w:adjustRightInd/>
        <w:snapToGrid/>
        <w:spacing w:after="0" w:line="360" w:lineRule="auto"/>
        <w:ind w:firstLine="560" w:firstLineChars="200"/>
        <w:jc w:val="left"/>
        <w:textAlignment w:val="auto"/>
        <w:rPr>
          <w:rFonts w:hint="default" w:ascii="Times New Roman" w:hAnsi="Times New Roman" w:eastAsia="宋体" w:cs="Times New Roman"/>
          <w:i w:val="0"/>
          <w:iCs w:val="0"/>
          <w:color w:val="auto"/>
          <w:kern w:val="0"/>
          <w:sz w:val="28"/>
          <w:szCs w:val="28"/>
          <w:lang w:val="en-US" w:eastAsia="zh-CN" w:bidi="ar-SA"/>
        </w:rPr>
      </w:pPr>
      <w:r>
        <w:rPr>
          <w:rFonts w:hint="default" w:ascii="Times New Roman" w:hAnsi="Times New Roman" w:eastAsia="宋体" w:cs="Times New Roman"/>
          <w:i w:val="0"/>
          <w:iCs w:val="0"/>
          <w:color w:val="auto"/>
          <w:kern w:val="0"/>
          <w:sz w:val="28"/>
          <w:szCs w:val="28"/>
          <w:lang w:val="en-US" w:eastAsia="zh-CN" w:bidi="ar-SA"/>
        </w:rPr>
        <w:t>（3）项目的建设地点未变动；</w:t>
      </w:r>
    </w:p>
    <w:p>
      <w:pPr>
        <w:keepNext w:val="0"/>
        <w:keepLines w:val="0"/>
        <w:pageBreakBefore w:val="0"/>
        <w:widowControl w:val="0"/>
        <w:kinsoku/>
        <w:wordWrap/>
        <w:overflowPunct/>
        <w:topLinePunct w:val="0"/>
        <w:autoSpaceDE/>
        <w:autoSpaceDN/>
        <w:bidi w:val="0"/>
        <w:adjustRightInd/>
        <w:snapToGrid/>
        <w:spacing w:after="0" w:line="360" w:lineRule="auto"/>
        <w:ind w:firstLine="560" w:firstLineChars="200"/>
        <w:jc w:val="left"/>
        <w:textAlignment w:val="auto"/>
        <w:rPr>
          <w:rFonts w:hint="default" w:ascii="Times New Roman" w:hAnsi="Times New Roman" w:eastAsia="宋体" w:cs="Times New Roman"/>
          <w:i w:val="0"/>
          <w:iCs w:val="0"/>
          <w:color w:val="auto"/>
          <w:kern w:val="0"/>
          <w:sz w:val="28"/>
          <w:szCs w:val="28"/>
          <w:lang w:val="en-US" w:eastAsia="zh-CN" w:bidi="ar-SA"/>
        </w:rPr>
      </w:pPr>
      <w:r>
        <w:rPr>
          <w:rFonts w:hint="default" w:ascii="Times New Roman" w:hAnsi="Times New Roman" w:eastAsia="宋体" w:cs="Times New Roman"/>
          <w:i w:val="0"/>
          <w:iCs w:val="0"/>
          <w:color w:val="auto"/>
          <w:kern w:val="0"/>
          <w:sz w:val="28"/>
          <w:szCs w:val="28"/>
          <w:lang w:val="en-US" w:eastAsia="zh-CN" w:bidi="ar-SA"/>
        </w:rPr>
        <w:t>（4）项目的生产工艺未变动；</w:t>
      </w:r>
    </w:p>
    <w:p>
      <w:pPr>
        <w:keepNext w:val="0"/>
        <w:keepLines w:val="0"/>
        <w:pageBreakBefore w:val="0"/>
        <w:widowControl w:val="0"/>
        <w:kinsoku/>
        <w:wordWrap/>
        <w:overflowPunct/>
        <w:topLinePunct w:val="0"/>
        <w:autoSpaceDE/>
        <w:autoSpaceDN/>
        <w:bidi w:val="0"/>
        <w:adjustRightInd/>
        <w:snapToGrid/>
        <w:spacing w:after="0" w:line="360" w:lineRule="auto"/>
        <w:ind w:firstLine="560" w:firstLineChars="200"/>
        <w:jc w:val="left"/>
        <w:textAlignment w:val="auto"/>
        <w:rPr>
          <w:rFonts w:hint="default" w:ascii="Times New Roman" w:hAnsi="Times New Roman" w:eastAsia="宋体" w:cs="Times New Roman"/>
          <w:i w:val="0"/>
          <w:iCs w:val="0"/>
          <w:color w:val="auto"/>
          <w:kern w:val="0"/>
          <w:sz w:val="28"/>
          <w:szCs w:val="28"/>
          <w:lang w:val="en-US" w:eastAsia="zh-CN" w:bidi="ar-SA"/>
        </w:rPr>
      </w:pPr>
      <w:r>
        <w:rPr>
          <w:rFonts w:hint="default" w:ascii="Times New Roman" w:hAnsi="Times New Roman" w:eastAsia="宋体" w:cs="Times New Roman"/>
          <w:i w:val="0"/>
          <w:iCs w:val="0"/>
          <w:color w:val="auto"/>
          <w:kern w:val="0"/>
          <w:sz w:val="28"/>
          <w:szCs w:val="28"/>
          <w:lang w:val="en-US" w:eastAsia="zh-CN" w:bidi="ar-SA"/>
        </w:rPr>
        <w:t>（5）项目的环保措施未产生变更，未产生新的污染物。</w:t>
      </w:r>
    </w:p>
    <w:p>
      <w:pPr>
        <w:keepNext w:val="0"/>
        <w:keepLines w:val="0"/>
        <w:pageBreakBefore w:val="0"/>
        <w:widowControl w:val="0"/>
        <w:kinsoku/>
        <w:wordWrap/>
        <w:overflowPunct/>
        <w:topLinePunct w:val="0"/>
        <w:autoSpaceDE/>
        <w:autoSpaceDN/>
        <w:bidi w:val="0"/>
        <w:adjustRightInd/>
        <w:snapToGrid/>
        <w:spacing w:after="0" w:line="360" w:lineRule="auto"/>
        <w:ind w:firstLine="562" w:firstLineChars="200"/>
        <w:jc w:val="left"/>
        <w:textAlignment w:val="auto"/>
        <w:rPr>
          <w:rFonts w:hint="default" w:ascii="Times New Roman" w:hAnsi="Times New Roman" w:eastAsia="宋体" w:cs="Times New Roman"/>
          <w:i w:val="0"/>
          <w:iCs w:val="0"/>
          <w:color w:val="auto"/>
          <w:kern w:val="0"/>
          <w:sz w:val="28"/>
          <w:szCs w:val="28"/>
          <w:lang w:val="en-US" w:eastAsia="zh-CN" w:bidi="ar-SA"/>
        </w:rPr>
      </w:pPr>
      <w:r>
        <w:rPr>
          <w:rFonts w:hint="default" w:ascii="Times New Roman" w:hAnsi="Times New Roman" w:eastAsia="宋体" w:cs="Times New Roman"/>
          <w:b/>
          <w:bCs/>
          <w:i w:val="0"/>
          <w:iCs w:val="0"/>
          <w:color w:val="auto"/>
          <w:kern w:val="0"/>
          <w:sz w:val="28"/>
          <w:szCs w:val="28"/>
          <w:lang w:val="en-US" w:eastAsia="zh-CN" w:bidi="ar-SA"/>
        </w:rPr>
        <w:t>本项目无重大变动</w:t>
      </w:r>
      <w:r>
        <w:rPr>
          <w:rFonts w:hint="default" w:ascii="Times New Roman" w:hAnsi="Times New Roman" w:eastAsia="宋体" w:cs="Times New Roman"/>
          <w:i w:val="0"/>
          <w:iCs w:val="0"/>
          <w:color w:val="auto"/>
          <w:kern w:val="0"/>
          <w:sz w:val="28"/>
          <w:szCs w:val="28"/>
          <w:lang w:val="en-US" w:eastAsia="zh-CN" w:bidi="ar-SA"/>
        </w:rPr>
        <w:t>。</w:t>
      </w:r>
    </w:p>
    <w:p>
      <w:pPr>
        <w:adjustRightInd/>
        <w:snapToGrid/>
        <w:spacing w:beforeAutospacing="0" w:after="0" w:afterAutospacing="0" w:line="360" w:lineRule="auto"/>
        <w:ind w:firstLine="562" w:firstLineChars="200"/>
        <w:jc w:val="both"/>
        <w:outlineLvl w:val="0"/>
        <w:rPr>
          <w:rFonts w:hint="default" w:ascii="Times New Roman" w:hAnsi="Times New Roman" w:eastAsia="宋体" w:cs="Times New Roman"/>
          <w:b/>
          <w:color w:val="000000"/>
          <w:sz w:val="28"/>
          <w:szCs w:val="28"/>
          <w:lang w:val="en-US" w:eastAsia="zh-CN" w:bidi="ar-SA"/>
        </w:rPr>
      </w:pPr>
      <w:r>
        <w:rPr>
          <w:rFonts w:hint="eastAsia" w:ascii="Times New Roman" w:hAnsi="Times New Roman" w:eastAsia="宋体" w:cs="Times New Roman"/>
          <w:b/>
          <w:color w:val="000000"/>
          <w:sz w:val="28"/>
          <w:szCs w:val="28"/>
          <w:lang w:val="en-US" w:eastAsia="zh-CN" w:bidi="ar-SA"/>
        </w:rPr>
        <w:t>六</w:t>
      </w:r>
      <w:r>
        <w:rPr>
          <w:rFonts w:hint="default" w:ascii="Times New Roman" w:hAnsi="Times New Roman" w:eastAsia="宋体" w:cs="Times New Roman"/>
          <w:b/>
          <w:color w:val="000000"/>
          <w:sz w:val="28"/>
          <w:szCs w:val="28"/>
          <w:lang w:val="en-US" w:eastAsia="zh-CN" w:bidi="ar-SA"/>
        </w:rPr>
        <w:t>、环境保护设施建设情况</w:t>
      </w:r>
    </w:p>
    <w:p>
      <w:pPr>
        <w:widowControl w:val="0"/>
        <w:autoSpaceDE w:val="0"/>
        <w:autoSpaceDN w:val="0"/>
        <w:adjustRightInd w:val="0"/>
        <w:spacing w:line="360" w:lineRule="auto"/>
        <w:ind w:firstLine="560" w:firstLineChars="200"/>
        <w:rPr>
          <w:rFonts w:hint="default" w:ascii="Times New Roman" w:hAnsi="Times New Roman" w:eastAsia="宋体" w:cs="Times New Roman"/>
          <w:color w:val="000000"/>
          <w:sz w:val="28"/>
          <w:szCs w:val="28"/>
          <w:lang w:val="en-US" w:eastAsia="zh-CN" w:bidi="ar-SA"/>
        </w:rPr>
      </w:pPr>
      <w:r>
        <w:rPr>
          <w:rFonts w:hint="default" w:ascii="Times New Roman" w:hAnsi="Times New Roman" w:eastAsia="宋体" w:cs="Times New Roman"/>
          <w:color w:val="000000"/>
          <w:sz w:val="28"/>
          <w:szCs w:val="28"/>
          <w:lang w:val="en-US" w:eastAsia="zh-CN" w:bidi="ar-SA"/>
        </w:rPr>
        <w:t>1、废气</w:t>
      </w:r>
    </w:p>
    <w:p>
      <w:pPr>
        <w:widowControl w:val="0"/>
        <w:autoSpaceDE w:val="0"/>
        <w:autoSpaceDN w:val="0"/>
        <w:adjustRightInd w:val="0"/>
        <w:spacing w:line="360" w:lineRule="auto"/>
        <w:ind w:firstLine="560" w:firstLineChars="200"/>
        <w:rPr>
          <w:rFonts w:hint="default" w:ascii="Times New Roman" w:hAnsi="Times New Roman" w:eastAsia="宋体" w:cs="Times New Roman"/>
          <w:color w:val="000000"/>
          <w:sz w:val="28"/>
          <w:szCs w:val="28"/>
          <w:lang w:val="en-US" w:eastAsia="zh-CN" w:bidi="ar-SA"/>
        </w:rPr>
      </w:pPr>
      <w:r>
        <w:rPr>
          <w:rFonts w:hint="default" w:ascii="Times New Roman" w:hAnsi="Times New Roman" w:eastAsia="宋体" w:cs="Times New Roman"/>
          <w:color w:val="000000"/>
          <w:sz w:val="28"/>
          <w:szCs w:val="28"/>
          <w:lang w:val="en-US" w:eastAsia="zh-CN" w:bidi="ar-SA"/>
        </w:rPr>
        <w:t>本项目废气主要为生产过程中砂石卸料粉尘、搅拌机投料扬尘、粉料罐仓仓顶呼吸孔粉尘，其污染物主要是粉尘，外排污染物主要以无组织逸散的方式。</w:t>
      </w:r>
    </w:p>
    <w:p>
      <w:pPr>
        <w:widowControl w:val="0"/>
        <w:autoSpaceDE w:val="0"/>
        <w:autoSpaceDN w:val="0"/>
        <w:adjustRightInd w:val="0"/>
        <w:spacing w:line="360" w:lineRule="auto"/>
        <w:ind w:firstLine="560" w:firstLineChars="200"/>
        <w:rPr>
          <w:rFonts w:hint="default" w:ascii="Times New Roman" w:hAnsi="Times New Roman" w:eastAsia="宋体" w:cs="Times New Roman"/>
          <w:color w:val="000000"/>
          <w:sz w:val="28"/>
          <w:szCs w:val="28"/>
          <w:lang w:val="en-US" w:eastAsia="zh-CN" w:bidi="ar-SA"/>
        </w:rPr>
      </w:pPr>
      <w:r>
        <w:rPr>
          <w:rFonts w:hint="default" w:ascii="Times New Roman" w:hAnsi="Times New Roman" w:eastAsia="宋体" w:cs="Times New Roman"/>
          <w:color w:val="000000"/>
          <w:sz w:val="28"/>
          <w:szCs w:val="28"/>
          <w:lang w:val="en-US" w:eastAsia="zh-CN" w:bidi="ar-SA"/>
        </w:rPr>
        <w:t>2、废水</w:t>
      </w:r>
    </w:p>
    <w:p>
      <w:pPr>
        <w:widowControl w:val="0"/>
        <w:autoSpaceDE w:val="0"/>
        <w:autoSpaceDN w:val="0"/>
        <w:adjustRightInd w:val="0"/>
        <w:spacing w:line="360" w:lineRule="auto"/>
        <w:ind w:firstLine="560" w:firstLineChars="200"/>
        <w:rPr>
          <w:rFonts w:hint="default" w:ascii="Times New Roman" w:hAnsi="Times New Roman" w:eastAsia="宋体" w:cs="Times New Roman"/>
          <w:color w:val="000000"/>
          <w:sz w:val="28"/>
          <w:szCs w:val="28"/>
          <w:lang w:val="en-US" w:eastAsia="zh-CN" w:bidi="ar-SA"/>
        </w:rPr>
      </w:pPr>
      <w:r>
        <w:rPr>
          <w:rFonts w:hint="default" w:ascii="Times New Roman" w:hAnsi="Times New Roman" w:eastAsia="宋体" w:cs="Times New Roman"/>
          <w:color w:val="000000"/>
          <w:sz w:val="28"/>
          <w:szCs w:val="28"/>
          <w:lang w:val="en-US" w:eastAsia="zh-CN" w:bidi="ar-SA"/>
        </w:rPr>
        <w:t>本项目废水外排。</w:t>
      </w:r>
    </w:p>
    <w:p>
      <w:pPr>
        <w:widowControl w:val="0"/>
        <w:autoSpaceDE w:val="0"/>
        <w:autoSpaceDN w:val="0"/>
        <w:adjustRightInd w:val="0"/>
        <w:spacing w:line="360" w:lineRule="auto"/>
        <w:ind w:firstLine="560" w:firstLineChars="200"/>
        <w:rPr>
          <w:rFonts w:hint="default" w:ascii="Times New Roman" w:hAnsi="Times New Roman" w:eastAsia="宋体" w:cs="Times New Roman"/>
          <w:color w:val="000000"/>
          <w:sz w:val="28"/>
          <w:szCs w:val="28"/>
          <w:lang w:val="en-US" w:eastAsia="zh-CN" w:bidi="ar-SA"/>
        </w:rPr>
      </w:pPr>
      <w:r>
        <w:rPr>
          <w:rFonts w:hint="default" w:ascii="Times New Roman" w:hAnsi="Times New Roman" w:eastAsia="宋体" w:cs="Times New Roman"/>
          <w:color w:val="000000"/>
          <w:sz w:val="28"/>
          <w:szCs w:val="28"/>
          <w:lang w:val="en-US" w:eastAsia="zh-CN" w:bidi="ar-SA"/>
        </w:rPr>
        <w:t>3、噪声</w:t>
      </w:r>
    </w:p>
    <w:p>
      <w:pPr>
        <w:widowControl w:val="0"/>
        <w:autoSpaceDE w:val="0"/>
        <w:autoSpaceDN w:val="0"/>
        <w:adjustRightInd w:val="0"/>
        <w:spacing w:line="360" w:lineRule="auto"/>
        <w:ind w:firstLine="560" w:firstLineChars="200"/>
        <w:rPr>
          <w:rFonts w:hint="default" w:ascii="Times New Roman" w:hAnsi="Times New Roman" w:eastAsia="宋体" w:cs="Times New Roman"/>
          <w:color w:val="000000"/>
          <w:sz w:val="28"/>
          <w:szCs w:val="28"/>
          <w:lang w:val="en-US" w:eastAsia="zh-CN" w:bidi="ar-SA"/>
        </w:rPr>
      </w:pPr>
      <w:r>
        <w:rPr>
          <w:rFonts w:hint="default" w:ascii="Times New Roman" w:hAnsi="Times New Roman" w:eastAsia="宋体" w:cs="Times New Roman"/>
          <w:color w:val="000000"/>
          <w:sz w:val="28"/>
          <w:szCs w:val="28"/>
          <w:lang w:val="en-US" w:eastAsia="zh-CN" w:bidi="ar-SA"/>
        </w:rPr>
        <w:t>本项目噪声主要来源于生产设备的运行，主要通过添加减震基础减少噪声污染。</w:t>
      </w:r>
    </w:p>
    <w:p>
      <w:pPr>
        <w:widowControl w:val="0"/>
        <w:autoSpaceDE w:val="0"/>
        <w:autoSpaceDN w:val="0"/>
        <w:adjustRightInd w:val="0"/>
        <w:spacing w:line="360" w:lineRule="auto"/>
        <w:ind w:firstLine="560" w:firstLineChars="200"/>
        <w:rPr>
          <w:rFonts w:hint="default" w:ascii="Times New Roman" w:hAnsi="Times New Roman" w:eastAsia="宋体" w:cs="Times New Roman"/>
          <w:color w:val="000000"/>
          <w:sz w:val="28"/>
          <w:szCs w:val="28"/>
          <w:lang w:val="en-US" w:eastAsia="zh-CN" w:bidi="ar-SA"/>
        </w:rPr>
      </w:pPr>
      <w:r>
        <w:rPr>
          <w:rFonts w:hint="default" w:ascii="Times New Roman" w:hAnsi="Times New Roman" w:eastAsia="宋体" w:cs="Times New Roman"/>
          <w:color w:val="000000"/>
          <w:sz w:val="28"/>
          <w:szCs w:val="28"/>
          <w:lang w:val="en-US" w:eastAsia="zh-CN" w:bidi="ar-SA"/>
        </w:rPr>
        <w:t>4、固废</w:t>
      </w:r>
    </w:p>
    <w:p>
      <w:pPr>
        <w:widowControl w:val="0"/>
        <w:autoSpaceDE w:val="0"/>
        <w:autoSpaceDN w:val="0"/>
        <w:adjustRightInd w:val="0"/>
        <w:spacing w:line="360" w:lineRule="auto"/>
        <w:ind w:firstLine="560" w:firstLineChars="200"/>
        <w:rPr>
          <w:rFonts w:hint="default" w:ascii="Times New Roman" w:hAnsi="Times New Roman" w:eastAsia="宋体" w:cs="Times New Roman"/>
          <w:color w:val="000000"/>
          <w:sz w:val="28"/>
          <w:szCs w:val="28"/>
          <w:lang w:val="en-US" w:eastAsia="zh-CN" w:bidi="ar-SA"/>
        </w:rPr>
      </w:pPr>
      <w:r>
        <w:rPr>
          <w:rFonts w:hint="default" w:ascii="Times New Roman" w:hAnsi="Times New Roman" w:eastAsia="宋体" w:cs="Times New Roman"/>
          <w:color w:val="000000"/>
          <w:sz w:val="28"/>
          <w:szCs w:val="28"/>
          <w:lang w:val="en-US" w:eastAsia="zh-CN" w:bidi="ar-SA"/>
        </w:rPr>
        <w:t>本项目固体废物包括布袋收集除尘器收集的粉尘、原料包装袋以及生活垃圾。</w:t>
      </w:r>
    </w:p>
    <w:p>
      <w:pPr>
        <w:widowControl w:val="0"/>
        <w:autoSpaceDE w:val="0"/>
        <w:autoSpaceDN w:val="0"/>
        <w:adjustRightInd w:val="0"/>
        <w:spacing w:line="360" w:lineRule="auto"/>
        <w:ind w:firstLine="560" w:firstLineChars="200"/>
        <w:rPr>
          <w:rFonts w:hint="default" w:ascii="Times New Roman" w:hAnsi="Times New Roman" w:eastAsia="宋体" w:cs="Times New Roman"/>
          <w:color w:val="000000"/>
          <w:sz w:val="28"/>
          <w:szCs w:val="28"/>
          <w:lang w:val="en-US" w:eastAsia="zh-CN" w:bidi="ar-SA"/>
        </w:rPr>
      </w:pPr>
      <w:r>
        <w:rPr>
          <w:rFonts w:hint="default" w:ascii="Times New Roman" w:hAnsi="Times New Roman" w:eastAsia="宋体" w:cs="Times New Roman"/>
          <w:color w:val="000000"/>
          <w:sz w:val="28"/>
          <w:szCs w:val="28"/>
          <w:lang w:val="en-US" w:eastAsia="zh-CN" w:bidi="ar-SA"/>
        </w:rPr>
        <w:t>生产过程中布袋除尘器收集的粉尘，全部回收作为原料再利用；废包装袋经集中收集后交由物资回收部门回用利用。生活垃圾经厂区内统一收集后交由当地环卫部门处理。</w:t>
      </w:r>
    </w:p>
    <w:p>
      <w:pPr>
        <w:widowControl w:val="0"/>
        <w:autoSpaceDE w:val="0"/>
        <w:autoSpaceDN w:val="0"/>
        <w:adjustRightInd w:val="0"/>
        <w:spacing w:line="360" w:lineRule="auto"/>
        <w:ind w:firstLine="562" w:firstLineChars="200"/>
        <w:rPr>
          <w:rFonts w:hint="default" w:ascii="Times New Roman" w:hAnsi="Times New Roman" w:eastAsia="宋体" w:cs="Times New Roman"/>
          <w:b/>
          <w:color w:val="000000"/>
          <w:sz w:val="28"/>
          <w:szCs w:val="28"/>
          <w:lang w:val="en-US" w:eastAsia="zh-CN" w:bidi="ar-SA"/>
        </w:rPr>
      </w:pPr>
      <w:r>
        <w:rPr>
          <w:rFonts w:hint="eastAsia" w:ascii="Times New Roman" w:hAnsi="Times New Roman" w:eastAsia="宋体" w:cs="Times New Roman"/>
          <w:b/>
          <w:color w:val="000000"/>
          <w:sz w:val="28"/>
          <w:szCs w:val="28"/>
          <w:lang w:val="en-US" w:eastAsia="zh-CN" w:bidi="ar-SA"/>
        </w:rPr>
        <w:t>七</w:t>
      </w:r>
      <w:r>
        <w:rPr>
          <w:rFonts w:hint="default" w:ascii="Times New Roman" w:hAnsi="Times New Roman" w:eastAsia="宋体" w:cs="Times New Roman"/>
          <w:b/>
          <w:color w:val="000000"/>
          <w:sz w:val="28"/>
          <w:szCs w:val="28"/>
          <w:lang w:val="en-US" w:eastAsia="zh-CN" w:bidi="ar-SA"/>
        </w:rPr>
        <w:t>、环境保护设施调试效果</w:t>
      </w:r>
    </w:p>
    <w:p>
      <w:pPr>
        <w:adjustRightInd/>
        <w:snapToGrid/>
        <w:spacing w:beforeAutospacing="0" w:after="0" w:afterAutospacing="0" w:line="360" w:lineRule="auto"/>
        <w:ind w:firstLine="560" w:firstLineChars="200"/>
        <w:jc w:val="both"/>
        <w:outlineLvl w:val="0"/>
        <w:rPr>
          <w:rFonts w:hint="default" w:ascii="Times New Roman" w:hAnsi="Times New Roman" w:eastAsia="宋体" w:cs="Times New Roman"/>
          <w:sz w:val="28"/>
          <w:szCs w:val="28"/>
          <w:lang w:val="en-US" w:eastAsia="zh-CN" w:bidi="ar-SA"/>
        </w:rPr>
      </w:pPr>
      <w:r>
        <w:rPr>
          <w:rFonts w:hint="default" w:ascii="Times New Roman" w:hAnsi="Times New Roman" w:eastAsia="宋体" w:cs="Times New Roman"/>
          <w:sz w:val="28"/>
          <w:szCs w:val="28"/>
          <w:lang w:val="en-US" w:eastAsia="zh-CN" w:bidi="ar-SA"/>
        </w:rPr>
        <w:t>（一）污染物达标排放情况</w:t>
      </w:r>
    </w:p>
    <w:p>
      <w:pPr>
        <w:pStyle w:val="35"/>
        <w:ind w:firstLine="480"/>
        <w:rPr>
          <w:rFonts w:hint="eastAsia" w:cs="Times New Roman"/>
          <w:sz w:val="28"/>
          <w:szCs w:val="28"/>
          <w:lang w:val="en-US" w:eastAsia="zh-CN"/>
        </w:rPr>
      </w:pPr>
      <w:bookmarkStart w:id="7" w:name="_Toc10319"/>
      <w:r>
        <w:rPr>
          <w:rFonts w:hint="eastAsia" w:cs="Times New Roman"/>
          <w:sz w:val="28"/>
          <w:szCs w:val="28"/>
          <w:lang w:val="en-US" w:eastAsia="zh-CN"/>
        </w:rPr>
        <w:t>1、废气</w:t>
      </w:r>
    </w:p>
    <w:p>
      <w:pPr>
        <w:pStyle w:val="35"/>
        <w:ind w:firstLine="480"/>
        <w:rPr>
          <w:rFonts w:hint="eastAsia" w:cs="Times New Roman"/>
          <w:sz w:val="28"/>
          <w:szCs w:val="28"/>
          <w:lang w:val="en-US" w:eastAsia="zh-CN"/>
        </w:rPr>
      </w:pPr>
      <w:r>
        <w:rPr>
          <w:rFonts w:hint="eastAsia" w:cs="Times New Roman"/>
          <w:sz w:val="28"/>
          <w:szCs w:val="28"/>
          <w:lang w:val="en-US" w:eastAsia="zh-CN"/>
        </w:rPr>
        <w:t>验收监测期间，无组织颗粒物最大排放浓度满足《水泥工业大气污染物排放标准》（GB4915-2013）中的相关标准要求。</w:t>
      </w:r>
    </w:p>
    <w:p>
      <w:pPr>
        <w:pStyle w:val="35"/>
        <w:ind w:firstLine="480"/>
        <w:rPr>
          <w:rFonts w:hint="eastAsia" w:cs="Times New Roman"/>
          <w:sz w:val="28"/>
          <w:szCs w:val="28"/>
          <w:lang w:val="en-US" w:eastAsia="zh-CN"/>
        </w:rPr>
      </w:pPr>
      <w:r>
        <w:rPr>
          <w:rFonts w:hint="eastAsia" w:cs="Times New Roman"/>
          <w:sz w:val="28"/>
          <w:szCs w:val="28"/>
          <w:lang w:val="en-US" w:eastAsia="zh-CN"/>
        </w:rPr>
        <w:t xml:space="preserve">2.噪声 </w:t>
      </w:r>
    </w:p>
    <w:p>
      <w:pPr>
        <w:pStyle w:val="35"/>
        <w:ind w:firstLine="480"/>
        <w:rPr>
          <w:rFonts w:hint="eastAsia" w:cs="Times New Roman"/>
          <w:sz w:val="28"/>
          <w:szCs w:val="28"/>
          <w:lang w:val="en-US" w:eastAsia="zh-CN"/>
        </w:rPr>
      </w:pPr>
      <w:r>
        <w:rPr>
          <w:rFonts w:hint="eastAsia" w:cs="Times New Roman"/>
          <w:sz w:val="28"/>
          <w:szCs w:val="28"/>
          <w:lang w:val="en-US" w:eastAsia="zh-CN"/>
        </w:rPr>
        <w:t>验收监测期间，厂界噪声4个监测点昼夜噪声监测值均满足《工业企业厂界环境噪声排放标准》(GB12348-2008)中2类标准要求。</w:t>
      </w:r>
    </w:p>
    <w:p>
      <w:pPr>
        <w:pStyle w:val="35"/>
        <w:ind w:firstLine="480"/>
        <w:rPr>
          <w:rFonts w:hint="eastAsia" w:cs="Times New Roman"/>
          <w:sz w:val="28"/>
          <w:szCs w:val="28"/>
          <w:lang w:val="en-US" w:eastAsia="zh-CN"/>
        </w:rPr>
      </w:pPr>
      <w:r>
        <w:rPr>
          <w:rFonts w:hint="eastAsia" w:cs="Times New Roman"/>
          <w:sz w:val="28"/>
          <w:szCs w:val="28"/>
          <w:lang w:val="en-US" w:eastAsia="zh-CN"/>
        </w:rPr>
        <w:t xml:space="preserve">3.固体废物 </w:t>
      </w:r>
    </w:p>
    <w:p>
      <w:pPr>
        <w:pStyle w:val="35"/>
        <w:ind w:firstLine="480"/>
        <w:rPr>
          <w:rFonts w:hint="eastAsia" w:cs="Times New Roman"/>
          <w:sz w:val="28"/>
          <w:szCs w:val="28"/>
          <w:lang w:val="en-US" w:eastAsia="zh-CN"/>
        </w:rPr>
      </w:pPr>
      <w:r>
        <w:rPr>
          <w:rFonts w:hint="eastAsia" w:cs="Times New Roman"/>
          <w:sz w:val="28"/>
          <w:szCs w:val="28"/>
          <w:lang w:val="en-US" w:eastAsia="zh-CN"/>
        </w:rPr>
        <w:t>本项目固体废物包括布袋收集除尘器收集的粉尘、原料包装袋以及生活垃圾。</w:t>
      </w:r>
    </w:p>
    <w:p>
      <w:pPr>
        <w:pStyle w:val="35"/>
        <w:ind w:firstLine="480"/>
        <w:rPr>
          <w:rFonts w:hint="eastAsia" w:cs="Times New Roman"/>
          <w:sz w:val="28"/>
          <w:szCs w:val="28"/>
          <w:lang w:val="en-US" w:eastAsia="zh-CN"/>
        </w:rPr>
      </w:pPr>
      <w:r>
        <w:rPr>
          <w:rFonts w:hint="eastAsia" w:cs="Times New Roman"/>
          <w:sz w:val="28"/>
          <w:szCs w:val="28"/>
          <w:lang w:val="en-US" w:eastAsia="zh-CN"/>
        </w:rPr>
        <w:t>生产过程中布袋除尘器收集的粉尘，全部回收作为原料再利用；废包装袋经集中收集后交由物资回收部门回用利用。生活垃圾经厂区内统一收集后交由当地环卫部门处理。</w:t>
      </w:r>
    </w:p>
    <w:bookmarkEnd w:id="7"/>
    <w:p>
      <w:pPr>
        <w:adjustRightInd/>
        <w:snapToGrid/>
        <w:spacing w:beforeAutospacing="0" w:after="0" w:afterAutospacing="0" w:line="360" w:lineRule="auto"/>
        <w:ind w:firstLine="562" w:firstLineChars="200"/>
        <w:jc w:val="both"/>
        <w:outlineLvl w:val="0"/>
        <w:rPr>
          <w:rFonts w:hint="default" w:ascii="Times New Roman" w:hAnsi="Times New Roman" w:eastAsia="宋体" w:cs="Times New Roman"/>
          <w:b/>
          <w:color w:val="000000"/>
          <w:sz w:val="28"/>
          <w:szCs w:val="28"/>
          <w:lang w:val="en-US" w:eastAsia="zh-CN" w:bidi="ar-SA"/>
        </w:rPr>
      </w:pPr>
      <w:r>
        <w:rPr>
          <w:rFonts w:hint="eastAsia" w:ascii="Times New Roman" w:hAnsi="Times New Roman" w:eastAsia="宋体" w:cs="Times New Roman"/>
          <w:b/>
          <w:color w:val="000000"/>
          <w:sz w:val="28"/>
          <w:szCs w:val="28"/>
          <w:lang w:val="en-US" w:eastAsia="zh-CN" w:bidi="ar-SA"/>
        </w:rPr>
        <w:t>八</w:t>
      </w:r>
      <w:r>
        <w:rPr>
          <w:rFonts w:hint="default" w:ascii="Times New Roman" w:hAnsi="Times New Roman" w:eastAsia="宋体" w:cs="Times New Roman"/>
          <w:b/>
          <w:color w:val="000000"/>
          <w:sz w:val="28"/>
          <w:szCs w:val="28"/>
          <w:lang w:val="en-US" w:eastAsia="zh-CN" w:bidi="ar-SA"/>
        </w:rPr>
        <w:t>、验收结论</w:t>
      </w:r>
    </w:p>
    <w:p>
      <w:pPr>
        <w:keepNext w:val="0"/>
        <w:keepLines w:val="0"/>
        <w:pageBreakBefore w:val="0"/>
        <w:widowControl/>
        <w:kinsoku/>
        <w:wordWrap/>
        <w:overflowPunct/>
        <w:topLinePunct w:val="0"/>
        <w:autoSpaceDE/>
        <w:autoSpaceDN/>
        <w:bidi w:val="0"/>
        <w:adjustRightInd/>
        <w:snapToGrid/>
        <w:spacing w:beforeAutospacing="0" w:after="0" w:afterAutospacing="0" w:line="360" w:lineRule="auto"/>
        <w:ind w:firstLine="560" w:firstLineChars="200"/>
        <w:jc w:val="both"/>
        <w:textAlignment w:val="auto"/>
        <w:outlineLvl w:val="0"/>
        <w:rPr>
          <w:rFonts w:hint="default" w:ascii="Times New Roman" w:hAnsi="Times New Roman" w:eastAsia="宋体" w:cs="Times New Roman"/>
          <w:bCs/>
          <w:color w:val="000000"/>
          <w:sz w:val="28"/>
          <w:szCs w:val="28"/>
          <w:highlight w:val="none"/>
          <w:lang w:val="en-US" w:eastAsia="zh-CN" w:bidi="ar-SA"/>
        </w:rPr>
      </w:pPr>
      <w:r>
        <w:rPr>
          <w:rFonts w:hint="default" w:ascii="Times New Roman" w:hAnsi="Times New Roman" w:eastAsia="宋体" w:cs="Times New Roman"/>
          <w:color w:val="000000"/>
          <w:sz w:val="28"/>
          <w:szCs w:val="28"/>
          <w:lang w:val="en-US" w:eastAsia="zh-CN" w:bidi="ar-SA"/>
        </w:rPr>
        <w:t>验收组认为，</w:t>
      </w:r>
      <w:r>
        <w:rPr>
          <w:rFonts w:hint="eastAsia" w:ascii="Times New Roman" w:hAnsi="Times New Roman" w:eastAsia="宋体" w:cs="Times New Roman"/>
          <w:color w:val="000000"/>
          <w:sz w:val="28"/>
          <w:szCs w:val="28"/>
          <w:lang w:val="en-US" w:eastAsia="zh-CN" w:bidi="ar-SA"/>
        </w:rPr>
        <w:t>明光市沪光建筑材料有限公司年产30万立方预拌砂浆、商品混凝土、15万立方PC预制构件项目（阶段性）</w:t>
      </w:r>
      <w:r>
        <w:rPr>
          <w:rFonts w:hint="default" w:ascii="Times New Roman" w:hAnsi="Times New Roman" w:eastAsia="宋体" w:cs="Times New Roman"/>
          <w:color w:val="000000"/>
          <w:sz w:val="28"/>
          <w:szCs w:val="28"/>
          <w:lang w:val="en-US" w:eastAsia="zh-CN" w:bidi="ar-SA"/>
        </w:rPr>
        <w:t>执行了环境影响评价制度，环评</w:t>
      </w:r>
      <w:r>
        <w:rPr>
          <w:rFonts w:hint="default" w:ascii="Times New Roman" w:hAnsi="Times New Roman" w:eastAsia="宋体" w:cs="Times New Roman"/>
          <w:bCs/>
          <w:color w:val="000000"/>
          <w:sz w:val="28"/>
          <w:szCs w:val="28"/>
          <w:lang w:val="en-US" w:eastAsia="zh-CN" w:bidi="ar-SA"/>
        </w:rPr>
        <w:t>审批手续齐备，配套的环境保护措施和污染防治设施基本落实，主要污染物达标排放，基本</w:t>
      </w:r>
      <w:r>
        <w:rPr>
          <w:rFonts w:hint="eastAsia" w:ascii="Times New Roman" w:hAnsi="Times New Roman" w:eastAsia="宋体" w:cs="Times New Roman"/>
          <w:bCs/>
          <w:color w:val="000000"/>
          <w:sz w:val="28"/>
          <w:szCs w:val="28"/>
          <w:lang w:val="en-US" w:eastAsia="zh-CN" w:bidi="ar-SA"/>
        </w:rPr>
        <w:t>满足</w:t>
      </w:r>
      <w:r>
        <w:rPr>
          <w:rFonts w:hint="default" w:ascii="Times New Roman" w:hAnsi="Times New Roman" w:eastAsia="宋体" w:cs="Times New Roman"/>
          <w:bCs/>
          <w:color w:val="000000"/>
          <w:sz w:val="28"/>
          <w:szCs w:val="28"/>
          <w:lang w:val="en-US" w:eastAsia="zh-CN" w:bidi="ar-SA"/>
        </w:rPr>
        <w:t>验收条件</w:t>
      </w:r>
      <w:r>
        <w:rPr>
          <w:rFonts w:hint="default" w:ascii="Times New Roman" w:hAnsi="Times New Roman" w:eastAsia="宋体" w:cs="Times New Roman"/>
          <w:bCs/>
          <w:color w:val="000000"/>
          <w:sz w:val="28"/>
          <w:szCs w:val="28"/>
          <w:highlight w:val="none"/>
          <w:lang w:val="en-US" w:eastAsia="zh-CN" w:bidi="ar-SA"/>
        </w:rPr>
        <w:t>，存在问题落实后同意项目通过环境保护竣工验收。</w:t>
      </w:r>
    </w:p>
    <w:p>
      <w:pPr>
        <w:adjustRightInd/>
        <w:snapToGrid/>
        <w:spacing w:beforeAutospacing="0" w:after="0" w:afterAutospacing="0" w:line="360" w:lineRule="auto"/>
        <w:ind w:firstLine="562" w:firstLineChars="200"/>
        <w:jc w:val="both"/>
        <w:outlineLvl w:val="0"/>
        <w:rPr>
          <w:rFonts w:hint="default" w:ascii="Times New Roman" w:hAnsi="Times New Roman" w:eastAsia="宋体" w:cs="Times New Roman"/>
          <w:b/>
          <w:color w:val="000000"/>
          <w:sz w:val="28"/>
          <w:szCs w:val="28"/>
          <w:lang w:val="en-US" w:eastAsia="zh-CN" w:bidi="ar-SA"/>
        </w:rPr>
      </w:pPr>
      <w:r>
        <w:rPr>
          <w:rFonts w:hint="eastAsia" w:ascii="Times New Roman" w:hAnsi="Times New Roman" w:eastAsia="宋体" w:cs="Times New Roman"/>
          <w:b/>
          <w:color w:val="000000"/>
          <w:sz w:val="28"/>
          <w:szCs w:val="28"/>
          <w:lang w:val="en-US" w:eastAsia="zh-CN" w:bidi="ar-SA"/>
        </w:rPr>
        <w:t>九</w:t>
      </w:r>
      <w:r>
        <w:rPr>
          <w:rFonts w:hint="default" w:ascii="Times New Roman" w:hAnsi="Times New Roman" w:eastAsia="宋体" w:cs="Times New Roman"/>
          <w:b/>
          <w:color w:val="000000"/>
          <w:sz w:val="28"/>
          <w:szCs w:val="28"/>
          <w:lang w:val="en-US" w:eastAsia="zh-CN" w:bidi="ar-SA"/>
        </w:rPr>
        <w:t>、后续要求</w:t>
      </w:r>
    </w:p>
    <w:p>
      <w:pPr>
        <w:keepNext w:val="0"/>
        <w:keepLines w:val="0"/>
        <w:pageBreakBefore w:val="0"/>
        <w:widowControl/>
        <w:kinsoku/>
        <w:wordWrap/>
        <w:overflowPunct/>
        <w:topLinePunct w:val="0"/>
        <w:autoSpaceDE/>
        <w:autoSpaceDN/>
        <w:bidi w:val="0"/>
        <w:adjustRightInd/>
        <w:snapToGrid/>
        <w:spacing w:beforeAutospacing="0" w:after="0" w:afterAutospacing="0" w:line="360" w:lineRule="auto"/>
        <w:ind w:firstLine="560" w:firstLineChars="200"/>
        <w:jc w:val="both"/>
        <w:textAlignment w:val="auto"/>
        <w:outlineLvl w:val="0"/>
        <w:rPr>
          <w:rFonts w:hint="default" w:ascii="Times New Roman" w:hAnsi="Times New Roman" w:eastAsia="宋体" w:cs="Times New Roman"/>
          <w:sz w:val="28"/>
          <w:szCs w:val="28"/>
          <w:lang w:val="en-US" w:eastAsia="zh-CN" w:bidi="ar-SA"/>
        </w:rPr>
      </w:pPr>
      <w:r>
        <w:rPr>
          <w:rFonts w:hint="eastAsia" w:ascii="Times New Roman" w:hAnsi="Times New Roman" w:eastAsia="宋体" w:cs="Times New Roman"/>
          <w:sz w:val="28"/>
          <w:szCs w:val="28"/>
          <w:lang w:val="en-US" w:eastAsia="zh-CN" w:bidi="ar-SA"/>
        </w:rPr>
        <w:t>1、</w:t>
      </w:r>
      <w:r>
        <w:rPr>
          <w:rFonts w:hint="default" w:ascii="Times New Roman" w:hAnsi="Times New Roman" w:eastAsia="宋体" w:cs="Times New Roman"/>
          <w:sz w:val="28"/>
          <w:szCs w:val="28"/>
          <w:lang w:val="en-US" w:eastAsia="zh-CN" w:bidi="ar-SA"/>
        </w:rPr>
        <w:t>建议加强环境保护工作，完善环保职能机构，严格环境监督管理；</w:t>
      </w:r>
    </w:p>
    <w:p>
      <w:pPr>
        <w:keepNext w:val="0"/>
        <w:keepLines w:val="0"/>
        <w:pageBreakBefore w:val="0"/>
        <w:widowControl/>
        <w:kinsoku/>
        <w:wordWrap/>
        <w:overflowPunct/>
        <w:topLinePunct w:val="0"/>
        <w:autoSpaceDE/>
        <w:autoSpaceDN/>
        <w:bidi w:val="0"/>
        <w:adjustRightInd/>
        <w:snapToGrid/>
        <w:spacing w:beforeAutospacing="0" w:after="0" w:afterAutospacing="0" w:line="360" w:lineRule="auto"/>
        <w:ind w:firstLine="560" w:firstLineChars="200"/>
        <w:jc w:val="both"/>
        <w:textAlignment w:val="auto"/>
        <w:outlineLvl w:val="0"/>
        <w:rPr>
          <w:rFonts w:hint="default" w:ascii="Times New Roman" w:hAnsi="Times New Roman" w:eastAsia="宋体" w:cs="Times New Roman"/>
          <w:sz w:val="28"/>
          <w:szCs w:val="28"/>
          <w:lang w:val="en-US" w:eastAsia="zh-CN" w:bidi="ar-SA"/>
        </w:rPr>
      </w:pPr>
      <w:r>
        <w:rPr>
          <w:rFonts w:hint="eastAsia" w:ascii="Times New Roman" w:hAnsi="Times New Roman" w:eastAsia="宋体" w:cs="Times New Roman"/>
          <w:sz w:val="28"/>
          <w:szCs w:val="28"/>
          <w:lang w:val="en-US" w:eastAsia="zh-CN" w:bidi="ar-SA"/>
        </w:rPr>
        <w:t>2、</w:t>
      </w:r>
      <w:r>
        <w:rPr>
          <w:rFonts w:hint="default" w:ascii="Times New Roman" w:hAnsi="Times New Roman" w:eastAsia="宋体" w:cs="Times New Roman"/>
          <w:sz w:val="28"/>
          <w:szCs w:val="28"/>
          <w:lang w:val="en-US" w:eastAsia="zh-CN" w:bidi="ar-SA"/>
        </w:rPr>
        <w:t>进一步加强</w:t>
      </w:r>
      <w:r>
        <w:rPr>
          <w:rFonts w:hint="eastAsia" w:ascii="Times New Roman" w:hAnsi="Times New Roman" w:eastAsia="宋体" w:cs="Times New Roman"/>
          <w:sz w:val="28"/>
          <w:szCs w:val="28"/>
          <w:lang w:val="en-US" w:eastAsia="zh-CN" w:bidi="ar-SA"/>
        </w:rPr>
        <w:t>废气处理设施的运行管理</w:t>
      </w:r>
      <w:r>
        <w:rPr>
          <w:rFonts w:hint="default" w:ascii="Times New Roman" w:hAnsi="Times New Roman" w:eastAsia="宋体" w:cs="Times New Roman"/>
          <w:sz w:val="28"/>
          <w:szCs w:val="28"/>
          <w:lang w:val="en-US" w:eastAsia="zh-CN" w:bidi="ar-SA"/>
        </w:rPr>
        <w:t>，确保</w:t>
      </w:r>
      <w:r>
        <w:rPr>
          <w:rFonts w:hint="eastAsia" w:ascii="Times New Roman" w:hAnsi="Times New Roman" w:eastAsia="宋体" w:cs="Times New Roman"/>
          <w:sz w:val="28"/>
          <w:szCs w:val="28"/>
          <w:lang w:val="en-US" w:eastAsia="zh-CN" w:bidi="ar-SA"/>
        </w:rPr>
        <w:t>污染物长期稳定达标排放</w:t>
      </w:r>
      <w:r>
        <w:rPr>
          <w:rFonts w:hint="default" w:ascii="Times New Roman" w:hAnsi="Times New Roman" w:eastAsia="宋体" w:cs="Times New Roman"/>
          <w:sz w:val="28"/>
          <w:szCs w:val="28"/>
          <w:lang w:val="en-US" w:eastAsia="zh-CN" w:bidi="ar-SA"/>
        </w:rPr>
        <w:t>；</w:t>
      </w:r>
    </w:p>
    <w:p>
      <w:pPr>
        <w:keepNext w:val="0"/>
        <w:keepLines w:val="0"/>
        <w:pageBreakBefore w:val="0"/>
        <w:widowControl/>
        <w:kinsoku/>
        <w:wordWrap/>
        <w:overflowPunct/>
        <w:topLinePunct w:val="0"/>
        <w:autoSpaceDE/>
        <w:autoSpaceDN/>
        <w:bidi w:val="0"/>
        <w:adjustRightInd/>
        <w:snapToGrid/>
        <w:spacing w:beforeAutospacing="0" w:after="0" w:afterAutospacing="0" w:line="360" w:lineRule="auto"/>
        <w:ind w:firstLine="560" w:firstLineChars="200"/>
        <w:jc w:val="both"/>
        <w:textAlignment w:val="auto"/>
        <w:outlineLvl w:val="0"/>
        <w:rPr>
          <w:rFonts w:hint="default" w:ascii="Times New Roman" w:hAnsi="Times New Roman" w:eastAsia="宋体" w:cs="Times New Roman"/>
          <w:color w:val="000000"/>
          <w:sz w:val="28"/>
          <w:szCs w:val="28"/>
          <w:lang w:val="en-US" w:eastAsia="zh-CN" w:bidi="ar-SA"/>
        </w:rPr>
      </w:pPr>
      <w:r>
        <w:rPr>
          <w:rFonts w:hint="eastAsia" w:ascii="Times New Roman" w:hAnsi="Times New Roman" w:eastAsia="宋体" w:cs="Times New Roman"/>
          <w:sz w:val="28"/>
          <w:szCs w:val="28"/>
          <w:lang w:val="en-US" w:eastAsia="zh-CN" w:bidi="ar-SA"/>
        </w:rPr>
        <w:t>3、</w:t>
      </w:r>
      <w:r>
        <w:rPr>
          <w:rFonts w:hint="eastAsia" w:ascii="Times New Roman" w:hAnsi="Times New Roman" w:eastAsia="宋体" w:cs="Times New Roman"/>
          <w:bCs/>
          <w:color w:val="000000"/>
          <w:sz w:val="28"/>
          <w:szCs w:val="28"/>
          <w:lang w:val="en-US" w:eastAsia="zh-CN" w:bidi="ar-SA"/>
        </w:rPr>
        <w:t>根据与会人员的意见，完善验收监测报告。</w:t>
      </w:r>
      <w:r>
        <w:rPr>
          <w:rFonts w:hint="default" w:ascii="Times New Roman" w:hAnsi="Times New Roman" w:eastAsia="宋体" w:cs="Times New Roman"/>
          <w:color w:val="000000"/>
          <w:sz w:val="28"/>
          <w:szCs w:val="28"/>
          <w:lang w:val="en-US" w:eastAsia="zh-CN" w:bidi="ar-SA"/>
        </w:rPr>
        <w:t xml:space="preserve">                      </w:t>
      </w:r>
    </w:p>
    <w:p>
      <w:pPr>
        <w:keepNext w:val="0"/>
        <w:keepLines w:val="0"/>
        <w:pageBreakBefore w:val="0"/>
        <w:widowControl/>
        <w:kinsoku/>
        <w:wordWrap/>
        <w:overflowPunct/>
        <w:topLinePunct w:val="0"/>
        <w:autoSpaceDE/>
        <w:autoSpaceDN/>
        <w:bidi w:val="0"/>
        <w:adjustRightInd/>
        <w:snapToGrid/>
        <w:spacing w:beforeAutospacing="0" w:after="0" w:afterAutospacing="0" w:line="360" w:lineRule="auto"/>
        <w:ind w:firstLine="560" w:firstLineChars="200"/>
        <w:jc w:val="right"/>
        <w:textAlignment w:val="auto"/>
        <w:outlineLvl w:val="0"/>
        <w:rPr>
          <w:rFonts w:hint="eastAsia" w:ascii="Times New Roman" w:hAnsi="Times New Roman" w:eastAsia="宋体" w:cs="Times New Roman"/>
          <w:color w:val="000000"/>
          <w:sz w:val="28"/>
          <w:szCs w:val="28"/>
          <w:lang w:val="en-US" w:eastAsia="zh-CN" w:bidi="ar-SA"/>
        </w:rPr>
      </w:pPr>
    </w:p>
    <w:p>
      <w:pPr>
        <w:keepNext w:val="0"/>
        <w:keepLines w:val="0"/>
        <w:pageBreakBefore w:val="0"/>
        <w:widowControl/>
        <w:kinsoku/>
        <w:wordWrap/>
        <w:overflowPunct/>
        <w:topLinePunct w:val="0"/>
        <w:autoSpaceDE/>
        <w:autoSpaceDN/>
        <w:bidi w:val="0"/>
        <w:adjustRightInd/>
        <w:snapToGrid/>
        <w:spacing w:beforeAutospacing="0" w:after="0" w:afterAutospacing="0" w:line="360" w:lineRule="auto"/>
        <w:ind w:firstLine="560" w:firstLineChars="200"/>
        <w:jc w:val="right"/>
        <w:textAlignment w:val="auto"/>
        <w:outlineLvl w:val="0"/>
        <w:rPr>
          <w:rFonts w:hint="eastAsia" w:ascii="Times New Roman" w:hAnsi="Times New Roman" w:eastAsia="宋体" w:cs="Times New Roman"/>
          <w:color w:val="000000"/>
          <w:sz w:val="28"/>
          <w:szCs w:val="28"/>
          <w:lang w:val="en-US" w:eastAsia="zh-CN" w:bidi="ar-SA"/>
        </w:rPr>
      </w:pPr>
    </w:p>
    <w:p>
      <w:pPr>
        <w:keepNext w:val="0"/>
        <w:keepLines w:val="0"/>
        <w:pageBreakBefore w:val="0"/>
        <w:widowControl/>
        <w:kinsoku/>
        <w:wordWrap/>
        <w:overflowPunct/>
        <w:topLinePunct w:val="0"/>
        <w:autoSpaceDE/>
        <w:autoSpaceDN/>
        <w:bidi w:val="0"/>
        <w:adjustRightInd/>
        <w:snapToGrid/>
        <w:spacing w:beforeAutospacing="0" w:after="0" w:afterAutospacing="0" w:line="360" w:lineRule="auto"/>
        <w:ind w:firstLine="560" w:firstLineChars="200"/>
        <w:jc w:val="right"/>
        <w:textAlignment w:val="auto"/>
        <w:outlineLvl w:val="0"/>
        <w:rPr>
          <w:rFonts w:hint="default" w:ascii="Times New Roman" w:hAnsi="Times New Roman" w:eastAsia="宋体" w:cs="Times New Roman"/>
          <w:color w:val="000000"/>
          <w:sz w:val="28"/>
          <w:szCs w:val="28"/>
          <w:lang w:val="en-US" w:eastAsia="zh-CN" w:bidi="ar-SA"/>
        </w:rPr>
      </w:pPr>
      <w:r>
        <w:rPr>
          <w:rFonts w:hint="eastAsia" w:ascii="Times New Roman" w:hAnsi="Times New Roman" w:eastAsia="宋体" w:cs="Times New Roman"/>
          <w:color w:val="000000"/>
          <w:sz w:val="28"/>
          <w:szCs w:val="28"/>
          <w:lang w:val="en-US" w:eastAsia="zh-CN" w:bidi="ar-SA"/>
        </w:rPr>
        <w:t>明光市沪光建筑材料有限公司</w:t>
      </w:r>
    </w:p>
    <w:p>
      <w:pPr>
        <w:keepNext w:val="0"/>
        <w:keepLines w:val="0"/>
        <w:pageBreakBefore w:val="0"/>
        <w:widowControl/>
        <w:kinsoku/>
        <w:wordWrap/>
        <w:overflowPunct/>
        <w:topLinePunct w:val="0"/>
        <w:autoSpaceDE/>
        <w:autoSpaceDN/>
        <w:bidi w:val="0"/>
        <w:adjustRightInd/>
        <w:snapToGrid/>
        <w:spacing w:beforeAutospacing="0" w:after="0" w:afterAutospacing="0" w:line="360" w:lineRule="auto"/>
        <w:ind w:firstLine="560" w:firstLineChars="200"/>
        <w:jc w:val="right"/>
        <w:textAlignment w:val="auto"/>
        <w:outlineLvl w:val="0"/>
        <w:rPr>
          <w:rFonts w:hint="default" w:ascii="Times New Roman" w:hAnsi="Times New Roman" w:eastAsia="宋体" w:cs="Times New Roman"/>
          <w:color w:val="000000"/>
          <w:sz w:val="28"/>
          <w:szCs w:val="28"/>
          <w:lang w:val="en-US" w:eastAsia="zh-CN" w:bidi="ar-SA"/>
        </w:rPr>
      </w:pPr>
      <w:r>
        <w:rPr>
          <w:rFonts w:hint="default" w:ascii="Times New Roman" w:hAnsi="Times New Roman" w:eastAsia="宋体" w:cs="Times New Roman"/>
          <w:color w:val="000000"/>
          <w:sz w:val="28"/>
          <w:szCs w:val="28"/>
          <w:lang w:val="en-US" w:eastAsia="zh-CN" w:bidi="ar-SA"/>
        </w:rPr>
        <w:t>20</w:t>
      </w:r>
      <w:r>
        <w:rPr>
          <w:rFonts w:hint="eastAsia" w:ascii="Times New Roman" w:hAnsi="Times New Roman" w:eastAsia="宋体" w:cs="Times New Roman"/>
          <w:color w:val="000000"/>
          <w:sz w:val="28"/>
          <w:szCs w:val="28"/>
          <w:lang w:val="en-US" w:eastAsia="zh-CN" w:bidi="ar-SA"/>
        </w:rPr>
        <w:t>21</w:t>
      </w:r>
      <w:r>
        <w:rPr>
          <w:rFonts w:hint="default" w:ascii="Times New Roman" w:hAnsi="Times New Roman" w:eastAsia="宋体" w:cs="Times New Roman"/>
          <w:color w:val="000000"/>
          <w:sz w:val="28"/>
          <w:szCs w:val="28"/>
          <w:lang w:val="en-US" w:eastAsia="zh-CN" w:bidi="ar-SA"/>
        </w:rPr>
        <w:t>年</w:t>
      </w:r>
      <w:r>
        <w:rPr>
          <w:rFonts w:hint="eastAsia" w:ascii="Times New Roman" w:hAnsi="Times New Roman" w:eastAsia="宋体" w:cs="Times New Roman"/>
          <w:color w:val="000000"/>
          <w:sz w:val="28"/>
          <w:szCs w:val="28"/>
          <w:lang w:val="en-US" w:eastAsia="zh-CN" w:bidi="ar-SA"/>
        </w:rPr>
        <w:t>6</w:t>
      </w:r>
      <w:r>
        <w:rPr>
          <w:rFonts w:hint="default" w:ascii="Times New Roman" w:hAnsi="Times New Roman" w:eastAsia="宋体" w:cs="Times New Roman"/>
          <w:color w:val="000000"/>
          <w:sz w:val="28"/>
          <w:szCs w:val="28"/>
          <w:lang w:val="en-US" w:eastAsia="zh-CN" w:bidi="ar-SA"/>
        </w:rPr>
        <w:t>月</w:t>
      </w:r>
      <w:r>
        <w:rPr>
          <w:rFonts w:hint="eastAsia" w:ascii="Times New Roman" w:hAnsi="Times New Roman" w:eastAsia="宋体" w:cs="Times New Roman"/>
          <w:color w:val="000000"/>
          <w:sz w:val="28"/>
          <w:szCs w:val="28"/>
          <w:lang w:val="en-US" w:eastAsia="zh-CN" w:bidi="ar-SA"/>
        </w:rPr>
        <w:t>26</w:t>
      </w:r>
      <w:r>
        <w:rPr>
          <w:rFonts w:hint="default" w:ascii="Times New Roman" w:hAnsi="Times New Roman" w:eastAsia="宋体" w:cs="Times New Roman"/>
          <w:color w:val="000000"/>
          <w:sz w:val="28"/>
          <w:szCs w:val="28"/>
          <w:lang w:val="en-US" w:eastAsia="zh-CN" w:bidi="ar-SA"/>
        </w:rPr>
        <w:t>日</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firstLine="0" w:firstLineChars="0"/>
        <w:jc w:val="left"/>
        <w:textAlignment w:val="auto"/>
        <w:outlineLvl w:val="0"/>
        <w:rPr>
          <w:rFonts w:hint="eastAsia" w:ascii="Times New Roman" w:hAnsi="Times New Roman" w:eastAsia="宋体" w:cs="Times New Roman"/>
          <w:color w:val="000000"/>
          <w:sz w:val="28"/>
          <w:szCs w:val="28"/>
          <w:lang w:val="en-US" w:eastAsia="zh-CN" w:bidi="ar-SA"/>
        </w:rPr>
      </w:pPr>
    </w:p>
    <w:p>
      <w:pPr>
        <w:pStyle w:val="3"/>
        <w:numPr>
          <w:numId w:val="0"/>
        </w:numPr>
        <w:rPr>
          <w:rFonts w:hint="eastAsia"/>
          <w:lang w:val="en-US" w:eastAsia="zh-CN"/>
        </w:rPr>
        <w:sectPr>
          <w:footerReference r:id="rId16" w:type="default"/>
          <w:pgSz w:w="11906" w:h="16838"/>
          <w:pgMar w:top="1417" w:right="1474" w:bottom="1417" w:left="1587" w:header="851" w:footer="992" w:gutter="0"/>
          <w:pgNumType w:fmt="numberInDash"/>
          <w:cols w:space="720" w:num="1"/>
          <w:docGrid w:type="lines" w:linePitch="312" w:charSpace="0"/>
        </w:sectPr>
      </w:pPr>
    </w:p>
    <w:p>
      <w:pPr>
        <w:pStyle w:val="3"/>
        <w:numPr>
          <w:numId w:val="0"/>
        </w:numPr>
        <w:jc w:val="center"/>
        <w:rPr>
          <w:rFonts w:hint="eastAsia"/>
          <w:lang w:val="en-US" w:eastAsia="zh-CN"/>
        </w:rPr>
        <w:sectPr>
          <w:pgSz w:w="11906" w:h="16838"/>
          <w:pgMar w:top="1417" w:right="1474" w:bottom="1417" w:left="1587" w:header="851" w:footer="992" w:gutter="0"/>
          <w:pgNumType w:fmt="numberInDash"/>
          <w:cols w:space="720" w:num="1"/>
          <w:docGrid w:type="lines" w:linePitch="312" w:charSpace="0"/>
        </w:sectPr>
      </w:pPr>
      <w:r>
        <w:rPr>
          <w:rFonts w:hint="eastAsia"/>
          <w:lang w:val="en-US" w:eastAsia="zh-CN"/>
        </w:rPr>
        <w:drawing>
          <wp:inline distT="0" distB="0" distL="114300" distR="114300">
            <wp:extent cx="5514975" cy="7762875"/>
            <wp:effectExtent l="0" t="0" r="9525" b="952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44"/>
                    <a:stretch>
                      <a:fillRect/>
                    </a:stretch>
                  </pic:blipFill>
                  <pic:spPr>
                    <a:xfrm>
                      <a:off x="0" y="0"/>
                      <a:ext cx="5514975" cy="7762875"/>
                    </a:xfrm>
                    <a:prstGeom prst="rect">
                      <a:avLst/>
                    </a:prstGeom>
                    <a:noFill/>
                    <a:ln>
                      <a:noFill/>
                    </a:ln>
                  </pic:spPr>
                </pic:pic>
              </a:graphicData>
            </a:graphic>
          </wp:inline>
        </w:drawing>
      </w:r>
      <w:r>
        <w:rPr>
          <w:rFonts w:hint="eastAsia"/>
          <w:lang w:val="en-US" w:eastAsia="zh-CN"/>
        </w:rPr>
        <w:drawing>
          <wp:inline distT="0" distB="0" distL="114300" distR="114300">
            <wp:extent cx="5581650" cy="7553325"/>
            <wp:effectExtent l="0" t="0" r="0" b="952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45"/>
                    <a:stretch>
                      <a:fillRect/>
                    </a:stretch>
                  </pic:blipFill>
                  <pic:spPr>
                    <a:xfrm>
                      <a:off x="0" y="0"/>
                      <a:ext cx="5581650" cy="7553325"/>
                    </a:xfrm>
                    <a:prstGeom prst="rect">
                      <a:avLst/>
                    </a:prstGeom>
                    <a:noFill/>
                    <a:ln>
                      <a:noFill/>
                    </a:ln>
                  </pic:spPr>
                </pic:pic>
              </a:graphicData>
            </a:graphic>
          </wp:inline>
        </w:drawing>
      </w:r>
    </w:p>
    <w:p>
      <w:pPr>
        <w:pStyle w:val="3"/>
        <w:numPr>
          <w:numId w:val="0"/>
        </w:numPr>
        <w:jc w:val="center"/>
        <w:rPr>
          <w:rFonts w:hint="eastAsia"/>
          <w:lang w:val="en-US" w:eastAsia="zh-CN"/>
        </w:rPr>
      </w:pPr>
      <w:r>
        <w:rPr>
          <w:rFonts w:hint="eastAsia"/>
          <w:lang w:val="en-US" w:eastAsia="zh-CN"/>
        </w:rPr>
        <w:drawing>
          <wp:inline distT="0" distB="0" distL="114300" distR="114300">
            <wp:extent cx="8891905" cy="5662295"/>
            <wp:effectExtent l="0" t="0" r="4445" b="1460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46"/>
                    <a:stretch>
                      <a:fillRect/>
                    </a:stretch>
                  </pic:blipFill>
                  <pic:spPr>
                    <a:xfrm>
                      <a:off x="0" y="0"/>
                      <a:ext cx="8891905" cy="5662295"/>
                    </a:xfrm>
                    <a:prstGeom prst="rect">
                      <a:avLst/>
                    </a:prstGeom>
                    <a:noFill/>
                    <a:ln>
                      <a:noFill/>
                    </a:ln>
                  </pic:spPr>
                </pic:pic>
              </a:graphicData>
            </a:graphic>
          </wp:inline>
        </w:drawing>
      </w:r>
      <w:bookmarkStart w:id="8" w:name="_GoBack"/>
      <w:bookmarkEnd w:id="8"/>
    </w:p>
    <w:sectPr>
      <w:pgSz w:w="16838" w:h="11906" w:orient="landscape"/>
      <w:pgMar w:top="1304" w:right="1417" w:bottom="1474" w:left="1417"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18030">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華康中楷體">
    <w:altName w:val="Microsoft JhengHei"/>
    <w:panose1 w:val="02010609000101010101"/>
    <w:charset w:val="88"/>
    <w:family w:val="modern"/>
    <w:pitch w:val="default"/>
    <w:sig w:usb0="00000000" w:usb1="00000000" w:usb2="00000010" w:usb3="00000000" w:csb0="00100000" w:csb1="00000000"/>
  </w:font>
  <w:font w:name="Microsoft JhengHei">
    <w:panose1 w:val="020B0604030504040204"/>
    <w:charset w:val="88"/>
    <w:family w:val="auto"/>
    <w:pitch w:val="default"/>
    <w:sig w:usb0="00000087" w:usb1="28AF4000" w:usb2="00000016" w:usb3="00000000" w:csb0="00100009"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Wingdings 2">
    <w:panose1 w:val="05020102010507070707"/>
    <w:charset w:val="02"/>
    <w:family w:val="auto"/>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19"/>
      </w:rPr>
    </w:pPr>
    <w:r>
      <w:fldChar w:fldCharType="begin"/>
    </w:r>
    <w:r>
      <w:rPr>
        <w:rStyle w:val="19"/>
      </w:rPr>
      <w:instrText xml:space="preserve">PAGE  </w:instrText>
    </w:r>
    <w:r>
      <w:fldChar w:fldCharType="end"/>
    </w: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eastAsia="宋体"/>
        <w:lang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12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AMdv/TXAQAAswMAAA4AAAAAAAAAAQAgAAAA&#10;HgEAAGRycy9lMm9Eb2MueG1sUEsFBgAAAAAGAAYAWQEAAGcFAAAAAA==&#10;">
              <v:fill on="f" focussize="0,0"/>
              <v:stroke on="f"/>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lang w:eastAsia="zh-CN"/>
      </w:rPr>
      <w:t>安徽迈峰检测技术有限公司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12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1"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t1sHFtkBAACzAwAADgAAAAAAAAABACAA&#10;AAAeAQAAZHJzL2Uyb0RvYy54bWxQSwUGAAAAAAYABgBZAQAAaQUAAAAA&#10;">
              <v:fill on="f" focussize="0,0"/>
              <v:stroke on="f"/>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eastAsia="宋体"/>
        <w:lang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YhJoX9kBAACyAwAADgAAAAAAAAABACAA&#10;AAAeAQAAZHJzL2Uyb0RvYy54bWxQSwUGAAAAAAYABgBZAQAAaQUAAAAA&#10;">
              <v:fill on="f" focussize="0,0"/>
              <v:stroke on="f"/>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7"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ECmH/tkBAACyAwAADgAAAAAAAAABACAA&#10;AAAeAQAAZHJzL2Uyb0RvYy54bWxQSwUGAAAAAAYABgBZAQAAaQUAAAAA&#10;">
              <v:fill on="f" focussize="0,0"/>
              <v:stroke on="f"/>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lang w:eastAsia="zh-CN"/>
      </w:rPr>
      <w:t>安徽迈峰检测技术有限公司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single" w:color="auto" w:sz="4" w:space="2"/>
      </w:pBdr>
      <w:jc w:val="both"/>
      <w:rPr>
        <w:rStyle w:val="19"/>
        <w:rFonts w:hint="eastAsia"/>
        <w:lang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1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33</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8"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6pebnPAAAABQEAAA8AAAAAAAAAAQAgAAAAIgAA&#10;AGRycy9kb3ducmV2LnhtbFBLAQIUABQAAAAIAIdO4kCbTcYi2AEAALIDAAAOAAAAAAAAAAEAIAAA&#10;AB4BAABkcnMvZTJvRG9jLnhtbFBLBQYAAAAABgAGAFkBAABoBQAAAAA=&#10;">
              <v:fill on="f" focussize="0,0"/>
              <v:stroke on="f"/>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33</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single" w:color="auto" w:sz="4" w:space="2"/>
      </w:pBdr>
      <w:jc w:val="both"/>
      <w:rPr>
        <w:rStyle w:val="19"/>
        <w:rFonts w:hint="eastAsia"/>
        <w:lang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11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9"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6XYpg9kBAACyAwAADgAAAAAAAAABACAA&#10;AAAeAQAAZHJzL2Uyb0RvYy54bWxQSwUGAAAAAAYABgBZAQAAaQUAAAAA&#10;">
              <v:fill on="f" focussize="0,0"/>
              <v:stroke on="f"/>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after="200"/>
      <w:rPr>
        <w:rFonts w:ascii="Tahoma" w:hAnsi="Tahoma" w:eastAsia="微软雅黑" w:cs="Times New Roman"/>
        <w:sz w:val="18"/>
        <w:szCs w:val="22"/>
        <w:lang w:val="en-US" w:eastAsia="zh-CN" w:bidi="ar-SA"/>
      </w:rPr>
    </w:pPr>
    <w:r>
      <w:rPr>
        <w:rFonts w:ascii="Tahoma" w:hAnsi="Tahoma" w:eastAsia="微软雅黑" w:cs="Times New Roman"/>
        <w:sz w:val="18"/>
        <w:szCs w:val="22"/>
        <w:lang w:val="en-US" w:eastAsia="zh-CN" w:bidi="ar-SA"/>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257175</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adjustRightInd w:val="0"/>
                            <w:snapToGrid w:val="0"/>
                            <w:spacing w:after="200"/>
                            <w:rPr>
                              <w:rFonts w:ascii="Tahoma" w:hAnsi="Tahoma" w:eastAsia="微软雅黑" w:cs="Times New Roman"/>
                              <w:sz w:val="18"/>
                              <w:szCs w:val="22"/>
                              <w:lang w:val="en-US" w:eastAsia="zh-CN" w:bidi="ar-SA"/>
                            </w:rPr>
                          </w:pPr>
                          <w:r>
                            <w:rPr>
                              <w:rFonts w:hint="eastAsia" w:ascii="Tahoma" w:hAnsi="Tahoma" w:eastAsia="微软雅黑" w:cs="Times New Roman"/>
                              <w:sz w:val="18"/>
                              <w:szCs w:val="22"/>
                              <w:lang w:val="en-US" w:eastAsia="zh-CN" w:bidi="ar-SA"/>
                            </w:rPr>
                            <w:fldChar w:fldCharType="begin"/>
                          </w:r>
                          <w:r>
                            <w:rPr>
                              <w:rFonts w:hint="eastAsia" w:ascii="Tahoma" w:hAnsi="Tahoma" w:eastAsia="微软雅黑" w:cs="Times New Roman"/>
                              <w:sz w:val="18"/>
                              <w:szCs w:val="22"/>
                              <w:lang w:val="en-US" w:eastAsia="zh-CN" w:bidi="ar-SA"/>
                            </w:rPr>
                            <w:instrText xml:space="preserve"> PAGE  \* MERGEFORMAT </w:instrText>
                          </w:r>
                          <w:r>
                            <w:rPr>
                              <w:rFonts w:hint="eastAsia" w:ascii="Tahoma" w:hAnsi="Tahoma" w:eastAsia="微软雅黑" w:cs="Times New Roman"/>
                              <w:sz w:val="18"/>
                              <w:szCs w:val="22"/>
                              <w:lang w:val="en-US" w:eastAsia="zh-CN" w:bidi="ar-SA"/>
                            </w:rPr>
                            <w:fldChar w:fldCharType="separate"/>
                          </w:r>
                          <w:r>
                            <w:rPr>
                              <w:rFonts w:ascii="Tahoma" w:hAnsi="Tahoma" w:eastAsia="微软雅黑" w:cs="Times New Roman"/>
                              <w:sz w:val="18"/>
                              <w:szCs w:val="22"/>
                              <w:lang w:val="en-US" w:eastAsia="zh-CN" w:bidi="ar-SA"/>
                            </w:rPr>
                            <w:t>2</w:t>
                          </w:r>
                          <w:r>
                            <w:rPr>
                              <w:rFonts w:hint="eastAsia" w:ascii="Tahoma" w:hAnsi="Tahoma" w:eastAsia="微软雅黑" w:cs="Times New Roman"/>
                              <w:sz w:val="18"/>
                              <w:szCs w:val="22"/>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0.25pt;height:144pt;width:144pt;mso-position-horizontal:center;mso-position-horizontal-relative:margin;mso-wrap-style:none;z-index:251667456;mso-width-relative:page;mso-height-relative:page;" filled="f" stroked="f" coordsize="21600,21600" o:gfxdata="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ybmg7VAAAABwEAAA8AAAAAAAAAAQAgAAAAIgAAAGRycy9kb3ducmV2&#10;LnhtbFBLAQIUABQAAAAIAIdO4kCltbvjOAIAAHEEAAAOAAAAAAAAAAEAIAAAACQBAABkcnMvZTJv&#10;RG9jLnhtbFBLBQYAAAAABgAGAFkBAADOBQAAAAA=&#10;">
              <v:path/>
              <v:fill on="f" focussize="0,0"/>
              <v:stroke on="f" weight="0.5pt"/>
              <v:imagedata o:title=""/>
              <o:lock v:ext="edit"/>
              <v:textbox inset="0mm,0mm,0mm,0mm" style="mso-fit-shape-to-text:t;">
                <w:txbxContent>
                  <w:p>
                    <w:pPr>
                      <w:adjustRightInd w:val="0"/>
                      <w:snapToGrid w:val="0"/>
                      <w:spacing w:after="200"/>
                      <w:rPr>
                        <w:rFonts w:ascii="Tahoma" w:hAnsi="Tahoma" w:eastAsia="微软雅黑" w:cs="Times New Roman"/>
                        <w:sz w:val="18"/>
                        <w:szCs w:val="22"/>
                        <w:lang w:val="en-US" w:eastAsia="zh-CN" w:bidi="ar-SA"/>
                      </w:rPr>
                    </w:pPr>
                    <w:r>
                      <w:rPr>
                        <w:rFonts w:hint="eastAsia" w:ascii="Tahoma" w:hAnsi="Tahoma" w:eastAsia="微软雅黑" w:cs="Times New Roman"/>
                        <w:sz w:val="18"/>
                        <w:szCs w:val="22"/>
                        <w:lang w:val="en-US" w:eastAsia="zh-CN" w:bidi="ar-SA"/>
                      </w:rPr>
                      <w:fldChar w:fldCharType="begin"/>
                    </w:r>
                    <w:r>
                      <w:rPr>
                        <w:rFonts w:hint="eastAsia" w:ascii="Tahoma" w:hAnsi="Tahoma" w:eastAsia="微软雅黑" w:cs="Times New Roman"/>
                        <w:sz w:val="18"/>
                        <w:szCs w:val="22"/>
                        <w:lang w:val="en-US" w:eastAsia="zh-CN" w:bidi="ar-SA"/>
                      </w:rPr>
                      <w:instrText xml:space="preserve"> PAGE  \* MERGEFORMAT </w:instrText>
                    </w:r>
                    <w:r>
                      <w:rPr>
                        <w:rFonts w:hint="eastAsia" w:ascii="Tahoma" w:hAnsi="Tahoma" w:eastAsia="微软雅黑" w:cs="Times New Roman"/>
                        <w:sz w:val="18"/>
                        <w:szCs w:val="22"/>
                        <w:lang w:val="en-US" w:eastAsia="zh-CN" w:bidi="ar-SA"/>
                      </w:rPr>
                      <w:fldChar w:fldCharType="separate"/>
                    </w:r>
                    <w:r>
                      <w:rPr>
                        <w:rFonts w:ascii="Tahoma" w:hAnsi="Tahoma" w:eastAsia="微软雅黑" w:cs="Times New Roman"/>
                        <w:sz w:val="18"/>
                        <w:szCs w:val="22"/>
                        <w:lang w:val="en-US" w:eastAsia="zh-CN" w:bidi="ar-SA"/>
                      </w:rPr>
                      <w:t>2</w:t>
                    </w:r>
                    <w:r>
                      <w:rPr>
                        <w:rFonts w:hint="eastAsia" w:ascii="Tahoma" w:hAnsi="Tahoma" w:eastAsia="微软雅黑" w:cs="Times New Roman"/>
                        <w:sz w:val="18"/>
                        <w:szCs w:val="22"/>
                        <w:lang w:val="en-US" w:eastAsia="zh-CN" w:bidi="ar-S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rFonts w:hint="eastAsia" w:hAnsi="宋体"/>
        <w:color w:val="000000"/>
      </w:rPr>
      <w:t>苏州宝普实业有限公司年产金属铸件250万件项目</w:t>
    </w:r>
    <w:r>
      <w:rPr>
        <w:rFonts w:hAnsi="宋体"/>
        <w:color w:val="000000"/>
      </w:rPr>
      <w:t>竣工环境保护验收监测表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sz w:val="21"/>
        <w:szCs w:val="21"/>
      </w:rPr>
    </w:pPr>
    <w:r>
      <w:rPr>
        <w:rFonts w:hint="eastAsia" w:hAnsi="宋体"/>
        <w:color w:val="000000"/>
        <w:sz w:val="21"/>
        <w:szCs w:val="21"/>
        <w:lang w:val="en-US" w:eastAsia="zh-CN"/>
      </w:rPr>
      <w:t>年产30万立方预拌砂浆、商品混凝土、15万立方PC预制构件项目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4" w:space="0"/>
      </w:pBdr>
      <w:rPr>
        <w:rFonts w:hint="eastAsia" w:eastAsia="宋体"/>
        <w:sz w:val="21"/>
        <w:szCs w:val="21"/>
        <w:lang w:eastAsia="zh-CN"/>
      </w:rPr>
    </w:pPr>
    <w:r>
      <w:rPr>
        <w:rFonts w:hint="eastAsia"/>
        <w:sz w:val="21"/>
        <w:szCs w:val="21"/>
        <w:lang w:eastAsia="zh-CN"/>
      </w:rPr>
      <w:t>年产30万立方预拌砂浆、商品混凝土、15万立方PC预制构件项目</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eastAsia="宋体"/>
        <w:u w:val="single"/>
        <w:lang w:eastAsia="zh-CN"/>
      </w:rPr>
    </w:pPr>
    <w:r>
      <w:rPr>
        <w:rFonts w:hint="eastAsia"/>
        <w:lang w:eastAsia="zh-CN"/>
      </w:rPr>
      <w:t>年产30万立方预拌砂浆、商品混凝土、15万立方PC预制构件项目</w:t>
    </w:r>
    <w:r>
      <w:rPr>
        <w:rFonts w:hint="eastAsia"/>
      </w:rPr>
      <w:t>竣工环境验收监测</w:t>
    </w:r>
    <w:r>
      <w:rPr>
        <w:rFonts w:hint="eastAsia"/>
        <w:lang w:eastAsia="zh-CN"/>
      </w:rPr>
      <w:t>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4C3937"/>
    <w:multiLevelType w:val="multilevel"/>
    <w:tmpl w:val="844C3937"/>
    <w:lvl w:ilvl="0" w:tentative="0">
      <w:start w:val="1"/>
      <w:numFmt w:val="bullet"/>
      <w:pStyle w:val="3"/>
      <w:lvlText w:val=""/>
      <w:lvlJc w:val="left"/>
      <w:pPr>
        <w:tabs>
          <w:tab w:val="left" w:pos="2040"/>
        </w:tabs>
        <w:ind w:left="2040" w:hanging="360"/>
      </w:pPr>
      <w:rPr>
        <w:rFonts w:hint="default" w:ascii="Wingdings" w:hAnsi="Wingdings"/>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
    <w:nsid w:val="BC83575A"/>
    <w:multiLevelType w:val="singleLevel"/>
    <w:tmpl w:val="BC83575A"/>
    <w:lvl w:ilvl="0" w:tentative="0">
      <w:start w:val="1"/>
      <w:numFmt w:val="decimal"/>
      <w:suff w:val="space"/>
      <w:lvlText w:val="(%1)"/>
      <w:lvlJc w:val="left"/>
    </w:lvl>
  </w:abstractNum>
  <w:abstractNum w:abstractNumId="2">
    <w:nsid w:val="C701AC52"/>
    <w:multiLevelType w:val="singleLevel"/>
    <w:tmpl w:val="C701AC52"/>
    <w:lvl w:ilvl="0" w:tentative="0">
      <w:start w:val="1"/>
      <w:numFmt w:val="decimal"/>
      <w:suff w:val="nothing"/>
      <w:lvlText w:val="（%1）"/>
      <w:lvlJc w:val="left"/>
    </w:lvl>
  </w:abstractNum>
  <w:abstractNum w:abstractNumId="3">
    <w:nsid w:val="EF0C7AEC"/>
    <w:multiLevelType w:val="singleLevel"/>
    <w:tmpl w:val="EF0C7AEC"/>
    <w:lvl w:ilvl="0" w:tentative="0">
      <w:start w:val="1"/>
      <w:numFmt w:val="decimal"/>
      <w:suff w:val="nothing"/>
      <w:lvlText w:val="（%1）"/>
      <w:lvlJc w:val="left"/>
    </w:lvl>
  </w:abstractNum>
  <w:abstractNum w:abstractNumId="4">
    <w:nsid w:val="324FC050"/>
    <w:multiLevelType w:val="singleLevel"/>
    <w:tmpl w:val="324FC050"/>
    <w:lvl w:ilvl="0" w:tentative="0">
      <w:start w:val="1"/>
      <w:numFmt w:val="chineseCounting"/>
      <w:suff w:val="nothing"/>
      <w:lvlText w:val="%1、"/>
      <w:lvlJc w:val="left"/>
      <w:rPr>
        <w:rFonts w:hint="eastAsia"/>
      </w:rPr>
    </w:lvl>
  </w:abstractNum>
  <w:abstractNum w:abstractNumId="5">
    <w:nsid w:val="363F7E47"/>
    <w:multiLevelType w:val="singleLevel"/>
    <w:tmpl w:val="363F7E47"/>
    <w:lvl w:ilvl="0" w:tentative="0">
      <w:start w:val="1"/>
      <w:numFmt w:val="decimal"/>
      <w:suff w:val="nothing"/>
      <w:lvlText w:val="（%1）"/>
      <w:lvlJc w:val="left"/>
    </w:lvl>
  </w:abstractNum>
  <w:abstractNum w:abstractNumId="6">
    <w:nsid w:val="500920DB"/>
    <w:multiLevelType w:val="singleLevel"/>
    <w:tmpl w:val="500920DB"/>
    <w:lvl w:ilvl="0" w:tentative="0">
      <w:start w:val="1"/>
      <w:numFmt w:val="chineseCounting"/>
      <w:suff w:val="nothing"/>
      <w:lvlText w:val="%1、"/>
      <w:lvlJc w:val="left"/>
      <w:rPr>
        <w:rFonts w:hint="eastAsia"/>
      </w:rPr>
    </w:lvl>
  </w:abstractNum>
  <w:num w:numId="1">
    <w:abstractNumId w:val="0"/>
  </w:num>
  <w:num w:numId="2">
    <w:abstractNumId w:val="1"/>
  </w:num>
  <w:num w:numId="3">
    <w:abstractNumId w:val="4"/>
  </w:num>
  <w:num w:numId="4">
    <w:abstractNumId w:val="5"/>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A7211"/>
    <w:rsid w:val="0020717C"/>
    <w:rsid w:val="0028262E"/>
    <w:rsid w:val="0028724B"/>
    <w:rsid w:val="002E4D77"/>
    <w:rsid w:val="002E6AC4"/>
    <w:rsid w:val="003B6EBB"/>
    <w:rsid w:val="003F145A"/>
    <w:rsid w:val="00601247"/>
    <w:rsid w:val="00633F3F"/>
    <w:rsid w:val="007415C7"/>
    <w:rsid w:val="007472A5"/>
    <w:rsid w:val="00784063"/>
    <w:rsid w:val="00805A03"/>
    <w:rsid w:val="00BB4E02"/>
    <w:rsid w:val="00C853FA"/>
    <w:rsid w:val="00D1453C"/>
    <w:rsid w:val="00D237C4"/>
    <w:rsid w:val="00E1433E"/>
    <w:rsid w:val="00E23686"/>
    <w:rsid w:val="00E64075"/>
    <w:rsid w:val="00F11E2E"/>
    <w:rsid w:val="00F8731A"/>
    <w:rsid w:val="00F91AF9"/>
    <w:rsid w:val="00FB4796"/>
    <w:rsid w:val="01097212"/>
    <w:rsid w:val="010E6B33"/>
    <w:rsid w:val="01204599"/>
    <w:rsid w:val="0127193B"/>
    <w:rsid w:val="012F4263"/>
    <w:rsid w:val="014B5E1C"/>
    <w:rsid w:val="014D5C76"/>
    <w:rsid w:val="015B53EE"/>
    <w:rsid w:val="016A4523"/>
    <w:rsid w:val="0175101E"/>
    <w:rsid w:val="017655D7"/>
    <w:rsid w:val="01904D38"/>
    <w:rsid w:val="019535B2"/>
    <w:rsid w:val="01B573A1"/>
    <w:rsid w:val="01CE47F8"/>
    <w:rsid w:val="020D19EF"/>
    <w:rsid w:val="021C778E"/>
    <w:rsid w:val="021D65C6"/>
    <w:rsid w:val="022333D5"/>
    <w:rsid w:val="02262C38"/>
    <w:rsid w:val="023B7457"/>
    <w:rsid w:val="023F1275"/>
    <w:rsid w:val="02511C95"/>
    <w:rsid w:val="02685B18"/>
    <w:rsid w:val="026A5F76"/>
    <w:rsid w:val="028D3497"/>
    <w:rsid w:val="02932A3D"/>
    <w:rsid w:val="02972A18"/>
    <w:rsid w:val="02980D87"/>
    <w:rsid w:val="02BB5715"/>
    <w:rsid w:val="02D66CA6"/>
    <w:rsid w:val="02DD1E22"/>
    <w:rsid w:val="02E3482F"/>
    <w:rsid w:val="02EF05D7"/>
    <w:rsid w:val="03023563"/>
    <w:rsid w:val="032A511A"/>
    <w:rsid w:val="03546E3C"/>
    <w:rsid w:val="03584170"/>
    <w:rsid w:val="038F325B"/>
    <w:rsid w:val="03A01EC1"/>
    <w:rsid w:val="03A24B24"/>
    <w:rsid w:val="03D761AE"/>
    <w:rsid w:val="03E65BF6"/>
    <w:rsid w:val="03EC3B43"/>
    <w:rsid w:val="040C2D57"/>
    <w:rsid w:val="0418324F"/>
    <w:rsid w:val="041A3AF5"/>
    <w:rsid w:val="041B57B2"/>
    <w:rsid w:val="04261026"/>
    <w:rsid w:val="04280435"/>
    <w:rsid w:val="04320073"/>
    <w:rsid w:val="04387A19"/>
    <w:rsid w:val="046C3EB7"/>
    <w:rsid w:val="04780365"/>
    <w:rsid w:val="04791414"/>
    <w:rsid w:val="047B2533"/>
    <w:rsid w:val="04810F70"/>
    <w:rsid w:val="04910480"/>
    <w:rsid w:val="04927DE4"/>
    <w:rsid w:val="0494699D"/>
    <w:rsid w:val="049C5974"/>
    <w:rsid w:val="04B77B65"/>
    <w:rsid w:val="04B968D4"/>
    <w:rsid w:val="04D310AE"/>
    <w:rsid w:val="04DC3C11"/>
    <w:rsid w:val="04DC759D"/>
    <w:rsid w:val="04FB0FEA"/>
    <w:rsid w:val="04FB467F"/>
    <w:rsid w:val="05003251"/>
    <w:rsid w:val="050E3CDD"/>
    <w:rsid w:val="050E4625"/>
    <w:rsid w:val="05324D6A"/>
    <w:rsid w:val="0546460D"/>
    <w:rsid w:val="054B6614"/>
    <w:rsid w:val="054E11F2"/>
    <w:rsid w:val="054E27D8"/>
    <w:rsid w:val="055A1EE9"/>
    <w:rsid w:val="05665679"/>
    <w:rsid w:val="058252A8"/>
    <w:rsid w:val="058657A1"/>
    <w:rsid w:val="058B4FB7"/>
    <w:rsid w:val="0594012B"/>
    <w:rsid w:val="059568E0"/>
    <w:rsid w:val="05986116"/>
    <w:rsid w:val="059E3DFA"/>
    <w:rsid w:val="05A47714"/>
    <w:rsid w:val="05A66E0F"/>
    <w:rsid w:val="05AD0CD0"/>
    <w:rsid w:val="05C71A63"/>
    <w:rsid w:val="05D90516"/>
    <w:rsid w:val="05EA0D22"/>
    <w:rsid w:val="05F330AB"/>
    <w:rsid w:val="05FC4978"/>
    <w:rsid w:val="05FC6EF9"/>
    <w:rsid w:val="05FE21CF"/>
    <w:rsid w:val="05FF1394"/>
    <w:rsid w:val="060D62C2"/>
    <w:rsid w:val="06390D66"/>
    <w:rsid w:val="06466F89"/>
    <w:rsid w:val="06556209"/>
    <w:rsid w:val="0662432B"/>
    <w:rsid w:val="066B3500"/>
    <w:rsid w:val="067403CB"/>
    <w:rsid w:val="06943081"/>
    <w:rsid w:val="069B6DEC"/>
    <w:rsid w:val="06B80523"/>
    <w:rsid w:val="06C639E6"/>
    <w:rsid w:val="06CC5FCB"/>
    <w:rsid w:val="06CF0A57"/>
    <w:rsid w:val="06E01FF1"/>
    <w:rsid w:val="06E47766"/>
    <w:rsid w:val="06FE7929"/>
    <w:rsid w:val="070103EB"/>
    <w:rsid w:val="070529AF"/>
    <w:rsid w:val="07101548"/>
    <w:rsid w:val="07137A55"/>
    <w:rsid w:val="071C75BE"/>
    <w:rsid w:val="07223FDD"/>
    <w:rsid w:val="07307737"/>
    <w:rsid w:val="073C5F49"/>
    <w:rsid w:val="074872AC"/>
    <w:rsid w:val="074E0BC8"/>
    <w:rsid w:val="075E3DF8"/>
    <w:rsid w:val="07607C6E"/>
    <w:rsid w:val="0770071E"/>
    <w:rsid w:val="07861ED3"/>
    <w:rsid w:val="078C6BC1"/>
    <w:rsid w:val="078D4FE0"/>
    <w:rsid w:val="07913827"/>
    <w:rsid w:val="079745C9"/>
    <w:rsid w:val="07A6200A"/>
    <w:rsid w:val="07B13E39"/>
    <w:rsid w:val="07B532C2"/>
    <w:rsid w:val="07C26B62"/>
    <w:rsid w:val="07C80A0C"/>
    <w:rsid w:val="07D46D21"/>
    <w:rsid w:val="07D51A63"/>
    <w:rsid w:val="07D673AC"/>
    <w:rsid w:val="07D73E40"/>
    <w:rsid w:val="07D93D99"/>
    <w:rsid w:val="07F131B5"/>
    <w:rsid w:val="07F73170"/>
    <w:rsid w:val="07FD7F7D"/>
    <w:rsid w:val="07FE5192"/>
    <w:rsid w:val="08114C8D"/>
    <w:rsid w:val="08151876"/>
    <w:rsid w:val="0817618F"/>
    <w:rsid w:val="08474F65"/>
    <w:rsid w:val="085F55E3"/>
    <w:rsid w:val="087273EE"/>
    <w:rsid w:val="087F5829"/>
    <w:rsid w:val="08801E29"/>
    <w:rsid w:val="08830ED0"/>
    <w:rsid w:val="08857A97"/>
    <w:rsid w:val="088A0269"/>
    <w:rsid w:val="088B087B"/>
    <w:rsid w:val="08A26E63"/>
    <w:rsid w:val="08A34473"/>
    <w:rsid w:val="08AF1C92"/>
    <w:rsid w:val="08C37908"/>
    <w:rsid w:val="08D53E05"/>
    <w:rsid w:val="08E62F21"/>
    <w:rsid w:val="08E9585F"/>
    <w:rsid w:val="09377971"/>
    <w:rsid w:val="09494C9B"/>
    <w:rsid w:val="09513666"/>
    <w:rsid w:val="09611B77"/>
    <w:rsid w:val="09624CB6"/>
    <w:rsid w:val="09637BC8"/>
    <w:rsid w:val="09743FB9"/>
    <w:rsid w:val="098E48D7"/>
    <w:rsid w:val="099B56AE"/>
    <w:rsid w:val="09A26A06"/>
    <w:rsid w:val="09B17373"/>
    <w:rsid w:val="09B35E5F"/>
    <w:rsid w:val="09E25D3C"/>
    <w:rsid w:val="09E66FD7"/>
    <w:rsid w:val="09EF6D28"/>
    <w:rsid w:val="0A04180B"/>
    <w:rsid w:val="0A043FBC"/>
    <w:rsid w:val="0A0B0413"/>
    <w:rsid w:val="0A0D1128"/>
    <w:rsid w:val="0A2A1C99"/>
    <w:rsid w:val="0A2E2015"/>
    <w:rsid w:val="0A3006B2"/>
    <w:rsid w:val="0A3157CD"/>
    <w:rsid w:val="0A3D281C"/>
    <w:rsid w:val="0A4118E2"/>
    <w:rsid w:val="0A440286"/>
    <w:rsid w:val="0A5308AA"/>
    <w:rsid w:val="0A605A6C"/>
    <w:rsid w:val="0A637284"/>
    <w:rsid w:val="0A8431D7"/>
    <w:rsid w:val="0A8C0DC2"/>
    <w:rsid w:val="0A961D28"/>
    <w:rsid w:val="0A9D45B9"/>
    <w:rsid w:val="0A9E55F6"/>
    <w:rsid w:val="0AA619E2"/>
    <w:rsid w:val="0AAD0557"/>
    <w:rsid w:val="0AC66EC8"/>
    <w:rsid w:val="0AC96614"/>
    <w:rsid w:val="0ACE3A1E"/>
    <w:rsid w:val="0AD13238"/>
    <w:rsid w:val="0B056839"/>
    <w:rsid w:val="0B0B6ADB"/>
    <w:rsid w:val="0B0C09AE"/>
    <w:rsid w:val="0B452440"/>
    <w:rsid w:val="0B532E5B"/>
    <w:rsid w:val="0B5E74FE"/>
    <w:rsid w:val="0B7E1763"/>
    <w:rsid w:val="0B8012F5"/>
    <w:rsid w:val="0B861419"/>
    <w:rsid w:val="0B9108F0"/>
    <w:rsid w:val="0B99216F"/>
    <w:rsid w:val="0BA86395"/>
    <w:rsid w:val="0BAA01AF"/>
    <w:rsid w:val="0BB74EEE"/>
    <w:rsid w:val="0BC3462C"/>
    <w:rsid w:val="0BC770B1"/>
    <w:rsid w:val="0BD03599"/>
    <w:rsid w:val="0BDE0363"/>
    <w:rsid w:val="0BED7510"/>
    <w:rsid w:val="0BF40E4B"/>
    <w:rsid w:val="0BFE48D5"/>
    <w:rsid w:val="0C0D7A19"/>
    <w:rsid w:val="0C39764A"/>
    <w:rsid w:val="0C3B273F"/>
    <w:rsid w:val="0C3E7A7D"/>
    <w:rsid w:val="0C472356"/>
    <w:rsid w:val="0C553C4B"/>
    <w:rsid w:val="0C6A5580"/>
    <w:rsid w:val="0C807B00"/>
    <w:rsid w:val="0C97657C"/>
    <w:rsid w:val="0C992AA2"/>
    <w:rsid w:val="0CAA59C3"/>
    <w:rsid w:val="0CB42822"/>
    <w:rsid w:val="0CCD25AF"/>
    <w:rsid w:val="0CCE6CF1"/>
    <w:rsid w:val="0CD853FB"/>
    <w:rsid w:val="0CDB73BA"/>
    <w:rsid w:val="0CE5754B"/>
    <w:rsid w:val="0CF17BEC"/>
    <w:rsid w:val="0CFF5681"/>
    <w:rsid w:val="0D067EDF"/>
    <w:rsid w:val="0D0F3B32"/>
    <w:rsid w:val="0D1A6371"/>
    <w:rsid w:val="0D3655F2"/>
    <w:rsid w:val="0D705306"/>
    <w:rsid w:val="0D825E9F"/>
    <w:rsid w:val="0D8453B7"/>
    <w:rsid w:val="0D8936ED"/>
    <w:rsid w:val="0D9B5B59"/>
    <w:rsid w:val="0DA53E3C"/>
    <w:rsid w:val="0DC46895"/>
    <w:rsid w:val="0DD67398"/>
    <w:rsid w:val="0DE76F70"/>
    <w:rsid w:val="0DF7772D"/>
    <w:rsid w:val="0DF914AA"/>
    <w:rsid w:val="0E0C3747"/>
    <w:rsid w:val="0E1D1EEC"/>
    <w:rsid w:val="0E1F2C3F"/>
    <w:rsid w:val="0E2C16B8"/>
    <w:rsid w:val="0E3E16E3"/>
    <w:rsid w:val="0E776723"/>
    <w:rsid w:val="0E7F1F12"/>
    <w:rsid w:val="0E811259"/>
    <w:rsid w:val="0E8C326D"/>
    <w:rsid w:val="0E9D7F5D"/>
    <w:rsid w:val="0EA75A0D"/>
    <w:rsid w:val="0EA96AC2"/>
    <w:rsid w:val="0ECC151E"/>
    <w:rsid w:val="0ECD253C"/>
    <w:rsid w:val="0EE6028F"/>
    <w:rsid w:val="0F020BCE"/>
    <w:rsid w:val="0F2E435F"/>
    <w:rsid w:val="0F2E673B"/>
    <w:rsid w:val="0F2F6DB8"/>
    <w:rsid w:val="0F384021"/>
    <w:rsid w:val="0F4D5099"/>
    <w:rsid w:val="0F5D73DB"/>
    <w:rsid w:val="0F5E50E6"/>
    <w:rsid w:val="0F7000C8"/>
    <w:rsid w:val="0F72281D"/>
    <w:rsid w:val="0F837A0A"/>
    <w:rsid w:val="0F854C08"/>
    <w:rsid w:val="0F9A6104"/>
    <w:rsid w:val="0FA514C1"/>
    <w:rsid w:val="0FA75DD6"/>
    <w:rsid w:val="0FB33C22"/>
    <w:rsid w:val="0FBC11C5"/>
    <w:rsid w:val="0FBD77A4"/>
    <w:rsid w:val="0FC603BB"/>
    <w:rsid w:val="0FCA4BA0"/>
    <w:rsid w:val="0FE06B05"/>
    <w:rsid w:val="0FEC3CCF"/>
    <w:rsid w:val="0FF44C54"/>
    <w:rsid w:val="100B6A1B"/>
    <w:rsid w:val="100D7096"/>
    <w:rsid w:val="10162B7D"/>
    <w:rsid w:val="101B7697"/>
    <w:rsid w:val="104B57F6"/>
    <w:rsid w:val="107B041D"/>
    <w:rsid w:val="10F445E0"/>
    <w:rsid w:val="111366A7"/>
    <w:rsid w:val="111C3F7D"/>
    <w:rsid w:val="11483EC1"/>
    <w:rsid w:val="11522A15"/>
    <w:rsid w:val="11540DF7"/>
    <w:rsid w:val="11636EEA"/>
    <w:rsid w:val="116C32EA"/>
    <w:rsid w:val="11927C1F"/>
    <w:rsid w:val="119E3FBB"/>
    <w:rsid w:val="11A950F8"/>
    <w:rsid w:val="11AE2229"/>
    <w:rsid w:val="11AE7773"/>
    <w:rsid w:val="11B34849"/>
    <w:rsid w:val="11E448BE"/>
    <w:rsid w:val="11EF75E2"/>
    <w:rsid w:val="11FF19B3"/>
    <w:rsid w:val="12206A53"/>
    <w:rsid w:val="1237637C"/>
    <w:rsid w:val="12382B01"/>
    <w:rsid w:val="123954EE"/>
    <w:rsid w:val="123A29EE"/>
    <w:rsid w:val="124077C9"/>
    <w:rsid w:val="124943CB"/>
    <w:rsid w:val="1250701A"/>
    <w:rsid w:val="125E15BE"/>
    <w:rsid w:val="126A1CA1"/>
    <w:rsid w:val="127535AD"/>
    <w:rsid w:val="127E4828"/>
    <w:rsid w:val="12A243A7"/>
    <w:rsid w:val="12BF30E0"/>
    <w:rsid w:val="13040B6D"/>
    <w:rsid w:val="13270BE2"/>
    <w:rsid w:val="13293FB5"/>
    <w:rsid w:val="13365A58"/>
    <w:rsid w:val="13417C29"/>
    <w:rsid w:val="13507391"/>
    <w:rsid w:val="13584F1C"/>
    <w:rsid w:val="136C6110"/>
    <w:rsid w:val="136D1807"/>
    <w:rsid w:val="137C28CB"/>
    <w:rsid w:val="13854DE4"/>
    <w:rsid w:val="13855EA1"/>
    <w:rsid w:val="138F4667"/>
    <w:rsid w:val="13B0028D"/>
    <w:rsid w:val="13C62958"/>
    <w:rsid w:val="13D65A85"/>
    <w:rsid w:val="13DA0F3C"/>
    <w:rsid w:val="13DD7281"/>
    <w:rsid w:val="13E43496"/>
    <w:rsid w:val="13EB6000"/>
    <w:rsid w:val="13F9648D"/>
    <w:rsid w:val="13FF193D"/>
    <w:rsid w:val="14062C09"/>
    <w:rsid w:val="14167D70"/>
    <w:rsid w:val="1419794D"/>
    <w:rsid w:val="142C205B"/>
    <w:rsid w:val="143427D0"/>
    <w:rsid w:val="143A2C20"/>
    <w:rsid w:val="14573D79"/>
    <w:rsid w:val="145B7DDC"/>
    <w:rsid w:val="145D5C27"/>
    <w:rsid w:val="145F0DD1"/>
    <w:rsid w:val="146B491E"/>
    <w:rsid w:val="146C241C"/>
    <w:rsid w:val="147C4244"/>
    <w:rsid w:val="14B144AA"/>
    <w:rsid w:val="14BB067F"/>
    <w:rsid w:val="14D12A58"/>
    <w:rsid w:val="14EE3082"/>
    <w:rsid w:val="14F750C3"/>
    <w:rsid w:val="14F77E78"/>
    <w:rsid w:val="1516391A"/>
    <w:rsid w:val="1525012A"/>
    <w:rsid w:val="15276828"/>
    <w:rsid w:val="152C1BDC"/>
    <w:rsid w:val="152E37A2"/>
    <w:rsid w:val="152F2D63"/>
    <w:rsid w:val="1538103C"/>
    <w:rsid w:val="154B2EED"/>
    <w:rsid w:val="156C3439"/>
    <w:rsid w:val="15751DC0"/>
    <w:rsid w:val="157535B3"/>
    <w:rsid w:val="15772353"/>
    <w:rsid w:val="15A866B3"/>
    <w:rsid w:val="15B15BC9"/>
    <w:rsid w:val="15B75FD0"/>
    <w:rsid w:val="15C0191B"/>
    <w:rsid w:val="15C51035"/>
    <w:rsid w:val="15C71AFA"/>
    <w:rsid w:val="15C9718E"/>
    <w:rsid w:val="16052F49"/>
    <w:rsid w:val="161F1EB1"/>
    <w:rsid w:val="1628497D"/>
    <w:rsid w:val="16413602"/>
    <w:rsid w:val="164C426E"/>
    <w:rsid w:val="165908E8"/>
    <w:rsid w:val="166F374A"/>
    <w:rsid w:val="16863E57"/>
    <w:rsid w:val="16B57851"/>
    <w:rsid w:val="16B77249"/>
    <w:rsid w:val="16BE6DC7"/>
    <w:rsid w:val="16C5283B"/>
    <w:rsid w:val="16C80A30"/>
    <w:rsid w:val="16D03F58"/>
    <w:rsid w:val="16E31411"/>
    <w:rsid w:val="16E42BF3"/>
    <w:rsid w:val="16E86DC5"/>
    <w:rsid w:val="16ED6165"/>
    <w:rsid w:val="170D219A"/>
    <w:rsid w:val="170D7ACD"/>
    <w:rsid w:val="17100B6F"/>
    <w:rsid w:val="17182D9A"/>
    <w:rsid w:val="17185160"/>
    <w:rsid w:val="171E515A"/>
    <w:rsid w:val="172D1FAD"/>
    <w:rsid w:val="17332427"/>
    <w:rsid w:val="17402FC2"/>
    <w:rsid w:val="1742364F"/>
    <w:rsid w:val="1751512C"/>
    <w:rsid w:val="175464C1"/>
    <w:rsid w:val="175D2304"/>
    <w:rsid w:val="175E6D4B"/>
    <w:rsid w:val="17732129"/>
    <w:rsid w:val="177F37CB"/>
    <w:rsid w:val="1786731E"/>
    <w:rsid w:val="17CA4A4F"/>
    <w:rsid w:val="17D00CA3"/>
    <w:rsid w:val="17D603EE"/>
    <w:rsid w:val="17E32C36"/>
    <w:rsid w:val="17F053D1"/>
    <w:rsid w:val="17F61AD4"/>
    <w:rsid w:val="17F833E7"/>
    <w:rsid w:val="17FF1ED8"/>
    <w:rsid w:val="17FF37E1"/>
    <w:rsid w:val="18011086"/>
    <w:rsid w:val="18104403"/>
    <w:rsid w:val="1813222F"/>
    <w:rsid w:val="18271ED7"/>
    <w:rsid w:val="182A5E21"/>
    <w:rsid w:val="182C58B1"/>
    <w:rsid w:val="1846076A"/>
    <w:rsid w:val="18460EE8"/>
    <w:rsid w:val="185D640D"/>
    <w:rsid w:val="185F4849"/>
    <w:rsid w:val="18614E5A"/>
    <w:rsid w:val="1876373E"/>
    <w:rsid w:val="18A816C6"/>
    <w:rsid w:val="18A93371"/>
    <w:rsid w:val="18CA4032"/>
    <w:rsid w:val="18D44E70"/>
    <w:rsid w:val="18DB6DBA"/>
    <w:rsid w:val="18E42A3C"/>
    <w:rsid w:val="18FD789E"/>
    <w:rsid w:val="18FF3E80"/>
    <w:rsid w:val="190D3361"/>
    <w:rsid w:val="19187C2D"/>
    <w:rsid w:val="192C33C8"/>
    <w:rsid w:val="192C5FB9"/>
    <w:rsid w:val="19346D7A"/>
    <w:rsid w:val="1939090B"/>
    <w:rsid w:val="193B67CF"/>
    <w:rsid w:val="194833F7"/>
    <w:rsid w:val="1954486B"/>
    <w:rsid w:val="197E0EFF"/>
    <w:rsid w:val="198C3C77"/>
    <w:rsid w:val="198F619A"/>
    <w:rsid w:val="19913C8C"/>
    <w:rsid w:val="199E4E0B"/>
    <w:rsid w:val="199F14A8"/>
    <w:rsid w:val="19A31B80"/>
    <w:rsid w:val="19B4493D"/>
    <w:rsid w:val="19B61E31"/>
    <w:rsid w:val="19B90B3E"/>
    <w:rsid w:val="19C10A69"/>
    <w:rsid w:val="19D55040"/>
    <w:rsid w:val="19FD6733"/>
    <w:rsid w:val="1A0058C5"/>
    <w:rsid w:val="1A01160A"/>
    <w:rsid w:val="1A131BBD"/>
    <w:rsid w:val="1A1443BE"/>
    <w:rsid w:val="1A144893"/>
    <w:rsid w:val="1A22334F"/>
    <w:rsid w:val="1A2476F5"/>
    <w:rsid w:val="1A277FFB"/>
    <w:rsid w:val="1A294333"/>
    <w:rsid w:val="1A371790"/>
    <w:rsid w:val="1A3B2E12"/>
    <w:rsid w:val="1A584D9E"/>
    <w:rsid w:val="1A6177D2"/>
    <w:rsid w:val="1A830C04"/>
    <w:rsid w:val="1A8F3E92"/>
    <w:rsid w:val="1AA66871"/>
    <w:rsid w:val="1AA808BD"/>
    <w:rsid w:val="1AC21E10"/>
    <w:rsid w:val="1AC806BF"/>
    <w:rsid w:val="1ACE1AF1"/>
    <w:rsid w:val="1AD27987"/>
    <w:rsid w:val="1AD41AFA"/>
    <w:rsid w:val="1ADE09AC"/>
    <w:rsid w:val="1AF47A54"/>
    <w:rsid w:val="1B005986"/>
    <w:rsid w:val="1B101693"/>
    <w:rsid w:val="1B1A3CCE"/>
    <w:rsid w:val="1B1D59FC"/>
    <w:rsid w:val="1B2000D9"/>
    <w:rsid w:val="1B251C98"/>
    <w:rsid w:val="1B265C7D"/>
    <w:rsid w:val="1B297579"/>
    <w:rsid w:val="1B2B653C"/>
    <w:rsid w:val="1B3C5FD5"/>
    <w:rsid w:val="1B41322B"/>
    <w:rsid w:val="1B442223"/>
    <w:rsid w:val="1B445AD5"/>
    <w:rsid w:val="1B7619B1"/>
    <w:rsid w:val="1B7B0F34"/>
    <w:rsid w:val="1B9A6310"/>
    <w:rsid w:val="1BBF7C4A"/>
    <w:rsid w:val="1BC91149"/>
    <w:rsid w:val="1BC93ED4"/>
    <w:rsid w:val="1BD2622B"/>
    <w:rsid w:val="1BE3648C"/>
    <w:rsid w:val="1C0419D7"/>
    <w:rsid w:val="1C0E085D"/>
    <w:rsid w:val="1C3B26D2"/>
    <w:rsid w:val="1C5D11DB"/>
    <w:rsid w:val="1C6205DA"/>
    <w:rsid w:val="1C676D97"/>
    <w:rsid w:val="1C693749"/>
    <w:rsid w:val="1C6C4537"/>
    <w:rsid w:val="1C6E6CBB"/>
    <w:rsid w:val="1C7B1B53"/>
    <w:rsid w:val="1C855138"/>
    <w:rsid w:val="1C8C4492"/>
    <w:rsid w:val="1C9B3E61"/>
    <w:rsid w:val="1CA250C3"/>
    <w:rsid w:val="1CB64E82"/>
    <w:rsid w:val="1CC11C74"/>
    <w:rsid w:val="1CC14A99"/>
    <w:rsid w:val="1CDD42A8"/>
    <w:rsid w:val="1CE364C1"/>
    <w:rsid w:val="1CE4775B"/>
    <w:rsid w:val="1CEE083C"/>
    <w:rsid w:val="1D020144"/>
    <w:rsid w:val="1D0D3D53"/>
    <w:rsid w:val="1D227F9D"/>
    <w:rsid w:val="1D2F7282"/>
    <w:rsid w:val="1D472FF6"/>
    <w:rsid w:val="1D5A1C27"/>
    <w:rsid w:val="1D9A5AB0"/>
    <w:rsid w:val="1D9C0414"/>
    <w:rsid w:val="1DA42B48"/>
    <w:rsid w:val="1DAA1E4B"/>
    <w:rsid w:val="1DB74D46"/>
    <w:rsid w:val="1DC16963"/>
    <w:rsid w:val="1DE346DD"/>
    <w:rsid w:val="1DEA6949"/>
    <w:rsid w:val="1E060350"/>
    <w:rsid w:val="1E1A6AEF"/>
    <w:rsid w:val="1E1B520B"/>
    <w:rsid w:val="1E1D6DBA"/>
    <w:rsid w:val="1E335DFB"/>
    <w:rsid w:val="1E430C20"/>
    <w:rsid w:val="1E4B7D94"/>
    <w:rsid w:val="1E620209"/>
    <w:rsid w:val="1E7057BB"/>
    <w:rsid w:val="1E76139A"/>
    <w:rsid w:val="1E954EFC"/>
    <w:rsid w:val="1EA87721"/>
    <w:rsid w:val="1EAD2226"/>
    <w:rsid w:val="1ECF0091"/>
    <w:rsid w:val="1EE8405A"/>
    <w:rsid w:val="1EEB2025"/>
    <w:rsid w:val="1EFC354E"/>
    <w:rsid w:val="1F10525F"/>
    <w:rsid w:val="1F13084B"/>
    <w:rsid w:val="1F177346"/>
    <w:rsid w:val="1F290253"/>
    <w:rsid w:val="1F3A4C29"/>
    <w:rsid w:val="1F3F111F"/>
    <w:rsid w:val="1F4B450A"/>
    <w:rsid w:val="1F4C6E13"/>
    <w:rsid w:val="1F5066E8"/>
    <w:rsid w:val="1F6455C0"/>
    <w:rsid w:val="1F6A295F"/>
    <w:rsid w:val="1F700497"/>
    <w:rsid w:val="1F72097F"/>
    <w:rsid w:val="1FAB5E95"/>
    <w:rsid w:val="1FB047AA"/>
    <w:rsid w:val="1FD85A66"/>
    <w:rsid w:val="1FED487E"/>
    <w:rsid w:val="200530B9"/>
    <w:rsid w:val="20084689"/>
    <w:rsid w:val="201444A1"/>
    <w:rsid w:val="201A579F"/>
    <w:rsid w:val="2022612A"/>
    <w:rsid w:val="202B4D58"/>
    <w:rsid w:val="20447294"/>
    <w:rsid w:val="204F0C3B"/>
    <w:rsid w:val="205F7DB3"/>
    <w:rsid w:val="20616A27"/>
    <w:rsid w:val="20772624"/>
    <w:rsid w:val="20775477"/>
    <w:rsid w:val="2078679B"/>
    <w:rsid w:val="20984289"/>
    <w:rsid w:val="209D26AC"/>
    <w:rsid w:val="20B73140"/>
    <w:rsid w:val="20CF7595"/>
    <w:rsid w:val="20DE3AD4"/>
    <w:rsid w:val="20E467C0"/>
    <w:rsid w:val="20E70A2C"/>
    <w:rsid w:val="20EF31FE"/>
    <w:rsid w:val="210B298A"/>
    <w:rsid w:val="21106F9C"/>
    <w:rsid w:val="211E7B77"/>
    <w:rsid w:val="21210D71"/>
    <w:rsid w:val="21267648"/>
    <w:rsid w:val="212F13E7"/>
    <w:rsid w:val="213F4521"/>
    <w:rsid w:val="21551693"/>
    <w:rsid w:val="215C0817"/>
    <w:rsid w:val="216642E2"/>
    <w:rsid w:val="217558C2"/>
    <w:rsid w:val="21821122"/>
    <w:rsid w:val="218C2578"/>
    <w:rsid w:val="21A30A07"/>
    <w:rsid w:val="21B05205"/>
    <w:rsid w:val="21B12C0F"/>
    <w:rsid w:val="21CC4EEF"/>
    <w:rsid w:val="21CC6423"/>
    <w:rsid w:val="21D22DEA"/>
    <w:rsid w:val="21DD67EA"/>
    <w:rsid w:val="21F3523D"/>
    <w:rsid w:val="21F668BC"/>
    <w:rsid w:val="22051AD7"/>
    <w:rsid w:val="22067FAF"/>
    <w:rsid w:val="220C2069"/>
    <w:rsid w:val="22100572"/>
    <w:rsid w:val="221431D2"/>
    <w:rsid w:val="222A0684"/>
    <w:rsid w:val="222D2EC6"/>
    <w:rsid w:val="22331900"/>
    <w:rsid w:val="223803C8"/>
    <w:rsid w:val="223D6301"/>
    <w:rsid w:val="224E2264"/>
    <w:rsid w:val="225E7D68"/>
    <w:rsid w:val="22664D0D"/>
    <w:rsid w:val="226C73E9"/>
    <w:rsid w:val="226D73F2"/>
    <w:rsid w:val="22843C9C"/>
    <w:rsid w:val="228D7B7F"/>
    <w:rsid w:val="229F51BA"/>
    <w:rsid w:val="22AA1BB0"/>
    <w:rsid w:val="22C43B96"/>
    <w:rsid w:val="22E225F6"/>
    <w:rsid w:val="22E77DFD"/>
    <w:rsid w:val="22F45124"/>
    <w:rsid w:val="22FC4089"/>
    <w:rsid w:val="22FE222C"/>
    <w:rsid w:val="231332EF"/>
    <w:rsid w:val="231D1496"/>
    <w:rsid w:val="23285A79"/>
    <w:rsid w:val="233B39D0"/>
    <w:rsid w:val="233C6C02"/>
    <w:rsid w:val="233D4573"/>
    <w:rsid w:val="23425018"/>
    <w:rsid w:val="23573ED4"/>
    <w:rsid w:val="23697A78"/>
    <w:rsid w:val="236D2CA9"/>
    <w:rsid w:val="23747D0E"/>
    <w:rsid w:val="23A2496E"/>
    <w:rsid w:val="23B220B0"/>
    <w:rsid w:val="23ED3A2F"/>
    <w:rsid w:val="24136B0E"/>
    <w:rsid w:val="24292331"/>
    <w:rsid w:val="24354CBE"/>
    <w:rsid w:val="24406473"/>
    <w:rsid w:val="244D22E7"/>
    <w:rsid w:val="247804F5"/>
    <w:rsid w:val="24800ED4"/>
    <w:rsid w:val="24883C08"/>
    <w:rsid w:val="2488471A"/>
    <w:rsid w:val="24890F7B"/>
    <w:rsid w:val="24A636DF"/>
    <w:rsid w:val="24B12571"/>
    <w:rsid w:val="24E43A1B"/>
    <w:rsid w:val="25243154"/>
    <w:rsid w:val="253B4597"/>
    <w:rsid w:val="253D59CB"/>
    <w:rsid w:val="25630E7E"/>
    <w:rsid w:val="256418BB"/>
    <w:rsid w:val="256A50BD"/>
    <w:rsid w:val="258329BE"/>
    <w:rsid w:val="25964289"/>
    <w:rsid w:val="259B4321"/>
    <w:rsid w:val="259D3697"/>
    <w:rsid w:val="25A36402"/>
    <w:rsid w:val="25A64E89"/>
    <w:rsid w:val="25B6326A"/>
    <w:rsid w:val="25C07353"/>
    <w:rsid w:val="25C60669"/>
    <w:rsid w:val="25CA0586"/>
    <w:rsid w:val="25E03437"/>
    <w:rsid w:val="25ED2DB7"/>
    <w:rsid w:val="25F87AF5"/>
    <w:rsid w:val="26001417"/>
    <w:rsid w:val="26233F6C"/>
    <w:rsid w:val="262765F8"/>
    <w:rsid w:val="26287D69"/>
    <w:rsid w:val="266E3D57"/>
    <w:rsid w:val="267101DA"/>
    <w:rsid w:val="26772A9B"/>
    <w:rsid w:val="26AB5482"/>
    <w:rsid w:val="26C8711A"/>
    <w:rsid w:val="26C97CBE"/>
    <w:rsid w:val="26D03028"/>
    <w:rsid w:val="26F31945"/>
    <w:rsid w:val="26FE079A"/>
    <w:rsid w:val="2706415A"/>
    <w:rsid w:val="27091C81"/>
    <w:rsid w:val="271D364F"/>
    <w:rsid w:val="2721379A"/>
    <w:rsid w:val="2729589A"/>
    <w:rsid w:val="272D2D1C"/>
    <w:rsid w:val="27427453"/>
    <w:rsid w:val="2748657B"/>
    <w:rsid w:val="27694012"/>
    <w:rsid w:val="27724199"/>
    <w:rsid w:val="277C0E97"/>
    <w:rsid w:val="27822775"/>
    <w:rsid w:val="278B0BDF"/>
    <w:rsid w:val="278D30FA"/>
    <w:rsid w:val="27B81BA9"/>
    <w:rsid w:val="27C87132"/>
    <w:rsid w:val="27D83D4A"/>
    <w:rsid w:val="27DA1DFF"/>
    <w:rsid w:val="27F20A56"/>
    <w:rsid w:val="27F36EFA"/>
    <w:rsid w:val="27F63147"/>
    <w:rsid w:val="280C3D2E"/>
    <w:rsid w:val="28207078"/>
    <w:rsid w:val="28433FF3"/>
    <w:rsid w:val="284F64E6"/>
    <w:rsid w:val="28505C94"/>
    <w:rsid w:val="287F6066"/>
    <w:rsid w:val="288143C7"/>
    <w:rsid w:val="288D2BC2"/>
    <w:rsid w:val="289D5A39"/>
    <w:rsid w:val="289D79D0"/>
    <w:rsid w:val="28A951AC"/>
    <w:rsid w:val="28BC3716"/>
    <w:rsid w:val="28D62FB2"/>
    <w:rsid w:val="28DA4332"/>
    <w:rsid w:val="28E11D54"/>
    <w:rsid w:val="28EA1616"/>
    <w:rsid w:val="29070823"/>
    <w:rsid w:val="290A03EC"/>
    <w:rsid w:val="290B46B4"/>
    <w:rsid w:val="291F5737"/>
    <w:rsid w:val="293E7E02"/>
    <w:rsid w:val="294A779B"/>
    <w:rsid w:val="29710F24"/>
    <w:rsid w:val="298412B0"/>
    <w:rsid w:val="299559E4"/>
    <w:rsid w:val="29BB1131"/>
    <w:rsid w:val="29BE421B"/>
    <w:rsid w:val="29BF5FA0"/>
    <w:rsid w:val="29C25BE1"/>
    <w:rsid w:val="29C40933"/>
    <w:rsid w:val="29DF0DAE"/>
    <w:rsid w:val="29EB5064"/>
    <w:rsid w:val="29EC5F5F"/>
    <w:rsid w:val="29ED56C2"/>
    <w:rsid w:val="29F225E3"/>
    <w:rsid w:val="29F50A41"/>
    <w:rsid w:val="29F74989"/>
    <w:rsid w:val="29FB1AAA"/>
    <w:rsid w:val="29FD5811"/>
    <w:rsid w:val="29FD7AA8"/>
    <w:rsid w:val="2A061F2C"/>
    <w:rsid w:val="2A081ADC"/>
    <w:rsid w:val="2A0D4A05"/>
    <w:rsid w:val="2A0D6009"/>
    <w:rsid w:val="2A156106"/>
    <w:rsid w:val="2A38587B"/>
    <w:rsid w:val="2A46278D"/>
    <w:rsid w:val="2A474604"/>
    <w:rsid w:val="2A58491B"/>
    <w:rsid w:val="2A605367"/>
    <w:rsid w:val="2A6805C2"/>
    <w:rsid w:val="2A773D5D"/>
    <w:rsid w:val="2A83467B"/>
    <w:rsid w:val="2A877639"/>
    <w:rsid w:val="2A8E3193"/>
    <w:rsid w:val="2AA21B1F"/>
    <w:rsid w:val="2AC80631"/>
    <w:rsid w:val="2AC855FF"/>
    <w:rsid w:val="2AD47782"/>
    <w:rsid w:val="2AD9775E"/>
    <w:rsid w:val="2AE77766"/>
    <w:rsid w:val="2AF02251"/>
    <w:rsid w:val="2AFE2753"/>
    <w:rsid w:val="2B007C8B"/>
    <w:rsid w:val="2B021138"/>
    <w:rsid w:val="2B0C4EDC"/>
    <w:rsid w:val="2B1E24C5"/>
    <w:rsid w:val="2B275AEA"/>
    <w:rsid w:val="2B3E7BED"/>
    <w:rsid w:val="2B504A1B"/>
    <w:rsid w:val="2B552DF4"/>
    <w:rsid w:val="2B581D9B"/>
    <w:rsid w:val="2B654E85"/>
    <w:rsid w:val="2B6A2AB4"/>
    <w:rsid w:val="2B8067CD"/>
    <w:rsid w:val="2B83000C"/>
    <w:rsid w:val="2B844989"/>
    <w:rsid w:val="2B8951C3"/>
    <w:rsid w:val="2BA11661"/>
    <w:rsid w:val="2BA23864"/>
    <w:rsid w:val="2BBE09E3"/>
    <w:rsid w:val="2BF35DE2"/>
    <w:rsid w:val="2BF438DA"/>
    <w:rsid w:val="2C111613"/>
    <w:rsid w:val="2C1B1F08"/>
    <w:rsid w:val="2C212ABA"/>
    <w:rsid w:val="2C2540AD"/>
    <w:rsid w:val="2C2B784E"/>
    <w:rsid w:val="2C2E3AA4"/>
    <w:rsid w:val="2C463BF3"/>
    <w:rsid w:val="2C5A184B"/>
    <w:rsid w:val="2C750413"/>
    <w:rsid w:val="2CA256EA"/>
    <w:rsid w:val="2CB222AF"/>
    <w:rsid w:val="2CBA63F8"/>
    <w:rsid w:val="2CCC3168"/>
    <w:rsid w:val="2CDE2DE1"/>
    <w:rsid w:val="2CE71785"/>
    <w:rsid w:val="2D090BD0"/>
    <w:rsid w:val="2D0A5EF1"/>
    <w:rsid w:val="2D2712C0"/>
    <w:rsid w:val="2D44748C"/>
    <w:rsid w:val="2D4C61DB"/>
    <w:rsid w:val="2D592D33"/>
    <w:rsid w:val="2D6D768D"/>
    <w:rsid w:val="2D8B522B"/>
    <w:rsid w:val="2D8E1E36"/>
    <w:rsid w:val="2D9D6010"/>
    <w:rsid w:val="2D9E1328"/>
    <w:rsid w:val="2DA0119F"/>
    <w:rsid w:val="2DB9382F"/>
    <w:rsid w:val="2DC23A94"/>
    <w:rsid w:val="2DDD093D"/>
    <w:rsid w:val="2DF47691"/>
    <w:rsid w:val="2E05671E"/>
    <w:rsid w:val="2E1C676D"/>
    <w:rsid w:val="2E23132D"/>
    <w:rsid w:val="2E326C5B"/>
    <w:rsid w:val="2E383B5D"/>
    <w:rsid w:val="2E5141E5"/>
    <w:rsid w:val="2E6007F8"/>
    <w:rsid w:val="2E7E63D8"/>
    <w:rsid w:val="2E80209F"/>
    <w:rsid w:val="2E94665E"/>
    <w:rsid w:val="2E9F00C7"/>
    <w:rsid w:val="2EC16BE1"/>
    <w:rsid w:val="2ECA6DA6"/>
    <w:rsid w:val="2ED316BB"/>
    <w:rsid w:val="2ED54F73"/>
    <w:rsid w:val="2ED77889"/>
    <w:rsid w:val="2ED86549"/>
    <w:rsid w:val="2EED7EBE"/>
    <w:rsid w:val="2EF5238E"/>
    <w:rsid w:val="2EF66EB8"/>
    <w:rsid w:val="2EFC0747"/>
    <w:rsid w:val="2F197519"/>
    <w:rsid w:val="2F213075"/>
    <w:rsid w:val="2F276A0B"/>
    <w:rsid w:val="2F315643"/>
    <w:rsid w:val="2F553E66"/>
    <w:rsid w:val="2F715789"/>
    <w:rsid w:val="2F796197"/>
    <w:rsid w:val="2F7E0D01"/>
    <w:rsid w:val="2F874B15"/>
    <w:rsid w:val="2F881327"/>
    <w:rsid w:val="2F8A7EF2"/>
    <w:rsid w:val="2F8F2925"/>
    <w:rsid w:val="2F9326D7"/>
    <w:rsid w:val="2FA748C7"/>
    <w:rsid w:val="2FB97D55"/>
    <w:rsid w:val="2FD54FA3"/>
    <w:rsid w:val="2FDC344E"/>
    <w:rsid w:val="30090E10"/>
    <w:rsid w:val="30336C35"/>
    <w:rsid w:val="305F00EF"/>
    <w:rsid w:val="30672D8A"/>
    <w:rsid w:val="306A5E43"/>
    <w:rsid w:val="306F7CBE"/>
    <w:rsid w:val="30A21853"/>
    <w:rsid w:val="30A2594C"/>
    <w:rsid w:val="30A33320"/>
    <w:rsid w:val="30BA7A80"/>
    <w:rsid w:val="30D014DF"/>
    <w:rsid w:val="30EB398F"/>
    <w:rsid w:val="30ED7B8F"/>
    <w:rsid w:val="30F3201D"/>
    <w:rsid w:val="30FD7332"/>
    <w:rsid w:val="3124283C"/>
    <w:rsid w:val="312F48A7"/>
    <w:rsid w:val="3136446B"/>
    <w:rsid w:val="313762F9"/>
    <w:rsid w:val="314470D9"/>
    <w:rsid w:val="314E630C"/>
    <w:rsid w:val="31543657"/>
    <w:rsid w:val="3183022A"/>
    <w:rsid w:val="318D38F0"/>
    <w:rsid w:val="31B66D7B"/>
    <w:rsid w:val="31BB2324"/>
    <w:rsid w:val="31C97919"/>
    <w:rsid w:val="320A238F"/>
    <w:rsid w:val="320C2413"/>
    <w:rsid w:val="321411D1"/>
    <w:rsid w:val="3219793F"/>
    <w:rsid w:val="32433FFC"/>
    <w:rsid w:val="325649AA"/>
    <w:rsid w:val="32594BEC"/>
    <w:rsid w:val="325D6E72"/>
    <w:rsid w:val="32711D70"/>
    <w:rsid w:val="32762604"/>
    <w:rsid w:val="328D62BB"/>
    <w:rsid w:val="329B1763"/>
    <w:rsid w:val="32AA637A"/>
    <w:rsid w:val="32AE0215"/>
    <w:rsid w:val="32BC1082"/>
    <w:rsid w:val="32BC69D3"/>
    <w:rsid w:val="32C87B51"/>
    <w:rsid w:val="32E06738"/>
    <w:rsid w:val="32E91EE5"/>
    <w:rsid w:val="33061883"/>
    <w:rsid w:val="330B5C0D"/>
    <w:rsid w:val="332E41A0"/>
    <w:rsid w:val="33411220"/>
    <w:rsid w:val="33440535"/>
    <w:rsid w:val="3344351C"/>
    <w:rsid w:val="336B0B3B"/>
    <w:rsid w:val="33830A81"/>
    <w:rsid w:val="338A20CC"/>
    <w:rsid w:val="338E5A1A"/>
    <w:rsid w:val="339E76DE"/>
    <w:rsid w:val="33A113C1"/>
    <w:rsid w:val="33AF1761"/>
    <w:rsid w:val="33B64F9D"/>
    <w:rsid w:val="33BA7BEB"/>
    <w:rsid w:val="33C15CDB"/>
    <w:rsid w:val="33CC6186"/>
    <w:rsid w:val="33E06981"/>
    <w:rsid w:val="33EA214A"/>
    <w:rsid w:val="340568F2"/>
    <w:rsid w:val="340843FD"/>
    <w:rsid w:val="341C47FB"/>
    <w:rsid w:val="342249D7"/>
    <w:rsid w:val="34263406"/>
    <w:rsid w:val="342950D9"/>
    <w:rsid w:val="34395142"/>
    <w:rsid w:val="34454F81"/>
    <w:rsid w:val="346141F8"/>
    <w:rsid w:val="346214BE"/>
    <w:rsid w:val="346750C9"/>
    <w:rsid w:val="34740C2C"/>
    <w:rsid w:val="347B4E7B"/>
    <w:rsid w:val="347C1F97"/>
    <w:rsid w:val="34845E22"/>
    <w:rsid w:val="348C0886"/>
    <w:rsid w:val="34B07BEE"/>
    <w:rsid w:val="34C077B2"/>
    <w:rsid w:val="34CD649A"/>
    <w:rsid w:val="34D20356"/>
    <w:rsid w:val="34D85BC7"/>
    <w:rsid w:val="34DE4072"/>
    <w:rsid w:val="34EA1EFE"/>
    <w:rsid w:val="34F033A7"/>
    <w:rsid w:val="34F142D1"/>
    <w:rsid w:val="3503773A"/>
    <w:rsid w:val="35095F61"/>
    <w:rsid w:val="350D12DB"/>
    <w:rsid w:val="351E5D57"/>
    <w:rsid w:val="35202757"/>
    <w:rsid w:val="352B235C"/>
    <w:rsid w:val="352D1603"/>
    <w:rsid w:val="356928DA"/>
    <w:rsid w:val="35776940"/>
    <w:rsid w:val="357D3A5E"/>
    <w:rsid w:val="35860D05"/>
    <w:rsid w:val="358865BB"/>
    <w:rsid w:val="35952DA8"/>
    <w:rsid w:val="359C3CE7"/>
    <w:rsid w:val="35B72AAE"/>
    <w:rsid w:val="35BE1131"/>
    <w:rsid w:val="35C447C9"/>
    <w:rsid w:val="35C95BB0"/>
    <w:rsid w:val="35CE547A"/>
    <w:rsid w:val="35D00B6F"/>
    <w:rsid w:val="35D60C90"/>
    <w:rsid w:val="35E474AA"/>
    <w:rsid w:val="35F52248"/>
    <w:rsid w:val="35F9479D"/>
    <w:rsid w:val="36164106"/>
    <w:rsid w:val="3620481A"/>
    <w:rsid w:val="362253EA"/>
    <w:rsid w:val="362A7340"/>
    <w:rsid w:val="36301C43"/>
    <w:rsid w:val="36754352"/>
    <w:rsid w:val="368A1C0E"/>
    <w:rsid w:val="369F07E7"/>
    <w:rsid w:val="36B910B1"/>
    <w:rsid w:val="36E044B6"/>
    <w:rsid w:val="36EB191A"/>
    <w:rsid w:val="36ED6FE1"/>
    <w:rsid w:val="36F13344"/>
    <w:rsid w:val="36FC1941"/>
    <w:rsid w:val="37060DA0"/>
    <w:rsid w:val="370B018A"/>
    <w:rsid w:val="372644A6"/>
    <w:rsid w:val="373340C5"/>
    <w:rsid w:val="373873B1"/>
    <w:rsid w:val="37514EBD"/>
    <w:rsid w:val="375731EE"/>
    <w:rsid w:val="37635B49"/>
    <w:rsid w:val="376A73F8"/>
    <w:rsid w:val="376B35B7"/>
    <w:rsid w:val="376D0590"/>
    <w:rsid w:val="376F0601"/>
    <w:rsid w:val="37761FA8"/>
    <w:rsid w:val="377C457E"/>
    <w:rsid w:val="37852098"/>
    <w:rsid w:val="37AF577B"/>
    <w:rsid w:val="37C215D0"/>
    <w:rsid w:val="37CF4871"/>
    <w:rsid w:val="37D0580C"/>
    <w:rsid w:val="37D44CFC"/>
    <w:rsid w:val="380B090F"/>
    <w:rsid w:val="380D0312"/>
    <w:rsid w:val="38385ACC"/>
    <w:rsid w:val="383F3E0D"/>
    <w:rsid w:val="3840294B"/>
    <w:rsid w:val="38427D17"/>
    <w:rsid w:val="384627D6"/>
    <w:rsid w:val="3869328A"/>
    <w:rsid w:val="38735BFE"/>
    <w:rsid w:val="38781D41"/>
    <w:rsid w:val="3885363E"/>
    <w:rsid w:val="38937750"/>
    <w:rsid w:val="38A0581D"/>
    <w:rsid w:val="38A136DD"/>
    <w:rsid w:val="38AF41B7"/>
    <w:rsid w:val="38EB5A3E"/>
    <w:rsid w:val="38FA05E4"/>
    <w:rsid w:val="3911383A"/>
    <w:rsid w:val="391422B9"/>
    <w:rsid w:val="391F3C84"/>
    <w:rsid w:val="39220326"/>
    <w:rsid w:val="3946203D"/>
    <w:rsid w:val="3955647B"/>
    <w:rsid w:val="396E30A6"/>
    <w:rsid w:val="398709E7"/>
    <w:rsid w:val="39950586"/>
    <w:rsid w:val="39A36E8D"/>
    <w:rsid w:val="39AF1A3C"/>
    <w:rsid w:val="39B124DF"/>
    <w:rsid w:val="39B30B37"/>
    <w:rsid w:val="39BC7D52"/>
    <w:rsid w:val="39BD3A97"/>
    <w:rsid w:val="39D42DBC"/>
    <w:rsid w:val="39D80ABD"/>
    <w:rsid w:val="39E24738"/>
    <w:rsid w:val="39EC38BF"/>
    <w:rsid w:val="39F833F3"/>
    <w:rsid w:val="3A1370C2"/>
    <w:rsid w:val="3A1E40E8"/>
    <w:rsid w:val="3A2D7F41"/>
    <w:rsid w:val="3A312F06"/>
    <w:rsid w:val="3A3603B2"/>
    <w:rsid w:val="3A41504C"/>
    <w:rsid w:val="3A663BAF"/>
    <w:rsid w:val="3A7439EA"/>
    <w:rsid w:val="3A753295"/>
    <w:rsid w:val="3A7923CD"/>
    <w:rsid w:val="3A8264DD"/>
    <w:rsid w:val="3A945DDA"/>
    <w:rsid w:val="3A972153"/>
    <w:rsid w:val="3A987679"/>
    <w:rsid w:val="3A9E735D"/>
    <w:rsid w:val="3AAC15AD"/>
    <w:rsid w:val="3AB5363E"/>
    <w:rsid w:val="3ADB2D4E"/>
    <w:rsid w:val="3ADF64D1"/>
    <w:rsid w:val="3AE8757C"/>
    <w:rsid w:val="3AF71DE4"/>
    <w:rsid w:val="3AFC55FF"/>
    <w:rsid w:val="3B0C1863"/>
    <w:rsid w:val="3B1D5508"/>
    <w:rsid w:val="3B3060E6"/>
    <w:rsid w:val="3B397AE4"/>
    <w:rsid w:val="3B432378"/>
    <w:rsid w:val="3B9029FE"/>
    <w:rsid w:val="3B99678D"/>
    <w:rsid w:val="3BA56B23"/>
    <w:rsid w:val="3BB2579C"/>
    <w:rsid w:val="3BB47E5B"/>
    <w:rsid w:val="3BD36AAC"/>
    <w:rsid w:val="3BD8746F"/>
    <w:rsid w:val="3BEA5D5B"/>
    <w:rsid w:val="3BED6574"/>
    <w:rsid w:val="3C027822"/>
    <w:rsid w:val="3C042A9F"/>
    <w:rsid w:val="3C094495"/>
    <w:rsid w:val="3C0D4007"/>
    <w:rsid w:val="3C122962"/>
    <w:rsid w:val="3C303886"/>
    <w:rsid w:val="3C445D51"/>
    <w:rsid w:val="3C4F6FAA"/>
    <w:rsid w:val="3C5367F4"/>
    <w:rsid w:val="3C6474A1"/>
    <w:rsid w:val="3C671DBD"/>
    <w:rsid w:val="3C795833"/>
    <w:rsid w:val="3C7A1BBF"/>
    <w:rsid w:val="3C836CDC"/>
    <w:rsid w:val="3C9E3BA9"/>
    <w:rsid w:val="3C9F0010"/>
    <w:rsid w:val="3CA05131"/>
    <w:rsid w:val="3CA83204"/>
    <w:rsid w:val="3CAC4E56"/>
    <w:rsid w:val="3CAF38D5"/>
    <w:rsid w:val="3CB068E5"/>
    <w:rsid w:val="3CCC0CD5"/>
    <w:rsid w:val="3CD2577A"/>
    <w:rsid w:val="3CE367D9"/>
    <w:rsid w:val="3CE71821"/>
    <w:rsid w:val="3D0B09DF"/>
    <w:rsid w:val="3D0C5559"/>
    <w:rsid w:val="3D17194B"/>
    <w:rsid w:val="3D190B6F"/>
    <w:rsid w:val="3D1C6BD8"/>
    <w:rsid w:val="3D1D4D21"/>
    <w:rsid w:val="3D482147"/>
    <w:rsid w:val="3D4A1A5B"/>
    <w:rsid w:val="3D4B4DD5"/>
    <w:rsid w:val="3D593352"/>
    <w:rsid w:val="3D664DBF"/>
    <w:rsid w:val="3D7C67E0"/>
    <w:rsid w:val="3D9955DF"/>
    <w:rsid w:val="3DA31F9F"/>
    <w:rsid w:val="3DBD4DC4"/>
    <w:rsid w:val="3DCD63BF"/>
    <w:rsid w:val="3DD21F34"/>
    <w:rsid w:val="3DDC529F"/>
    <w:rsid w:val="3DF667D2"/>
    <w:rsid w:val="3DFE23D5"/>
    <w:rsid w:val="3E062619"/>
    <w:rsid w:val="3E0630A1"/>
    <w:rsid w:val="3E0F2642"/>
    <w:rsid w:val="3E137E56"/>
    <w:rsid w:val="3E184065"/>
    <w:rsid w:val="3E424ABD"/>
    <w:rsid w:val="3E4E55FD"/>
    <w:rsid w:val="3E5B4041"/>
    <w:rsid w:val="3E5B69A1"/>
    <w:rsid w:val="3E5E0EF5"/>
    <w:rsid w:val="3E7D0D30"/>
    <w:rsid w:val="3E950EDB"/>
    <w:rsid w:val="3EA7651C"/>
    <w:rsid w:val="3EB60B3E"/>
    <w:rsid w:val="3EB733E1"/>
    <w:rsid w:val="3EBE405E"/>
    <w:rsid w:val="3EC920D7"/>
    <w:rsid w:val="3EE202D2"/>
    <w:rsid w:val="3EE5166F"/>
    <w:rsid w:val="3EF05F0B"/>
    <w:rsid w:val="3F2507AF"/>
    <w:rsid w:val="3F303D0D"/>
    <w:rsid w:val="3F306484"/>
    <w:rsid w:val="3F590128"/>
    <w:rsid w:val="3F680EB3"/>
    <w:rsid w:val="3F6E4A66"/>
    <w:rsid w:val="3F7873C6"/>
    <w:rsid w:val="3F93394C"/>
    <w:rsid w:val="3F9B1D18"/>
    <w:rsid w:val="3FA053B4"/>
    <w:rsid w:val="3FAC05FE"/>
    <w:rsid w:val="3FB023F6"/>
    <w:rsid w:val="3FB43DE7"/>
    <w:rsid w:val="3FD87A34"/>
    <w:rsid w:val="3FEC0FC5"/>
    <w:rsid w:val="3FEC42BC"/>
    <w:rsid w:val="40003FCA"/>
    <w:rsid w:val="4025566A"/>
    <w:rsid w:val="402F50AB"/>
    <w:rsid w:val="40385532"/>
    <w:rsid w:val="4046684E"/>
    <w:rsid w:val="40491CE4"/>
    <w:rsid w:val="404B6114"/>
    <w:rsid w:val="404D1052"/>
    <w:rsid w:val="40580C7D"/>
    <w:rsid w:val="407F27C6"/>
    <w:rsid w:val="408C05F8"/>
    <w:rsid w:val="409E2B95"/>
    <w:rsid w:val="40AC4F4C"/>
    <w:rsid w:val="40B165C2"/>
    <w:rsid w:val="412510C5"/>
    <w:rsid w:val="41285A98"/>
    <w:rsid w:val="412A1781"/>
    <w:rsid w:val="4132327E"/>
    <w:rsid w:val="4144299E"/>
    <w:rsid w:val="4148376F"/>
    <w:rsid w:val="415378E5"/>
    <w:rsid w:val="4154347B"/>
    <w:rsid w:val="41631547"/>
    <w:rsid w:val="416557C1"/>
    <w:rsid w:val="417E1EF8"/>
    <w:rsid w:val="418E43A2"/>
    <w:rsid w:val="419304D9"/>
    <w:rsid w:val="41A00C35"/>
    <w:rsid w:val="41AA2D89"/>
    <w:rsid w:val="41B06CB3"/>
    <w:rsid w:val="41B520ED"/>
    <w:rsid w:val="41B65B75"/>
    <w:rsid w:val="41B87A9C"/>
    <w:rsid w:val="41C671EE"/>
    <w:rsid w:val="41C745F5"/>
    <w:rsid w:val="41CB5F86"/>
    <w:rsid w:val="41CD4B9A"/>
    <w:rsid w:val="41DD02EA"/>
    <w:rsid w:val="42021B5E"/>
    <w:rsid w:val="4205748D"/>
    <w:rsid w:val="420E0970"/>
    <w:rsid w:val="421E20C1"/>
    <w:rsid w:val="422766A9"/>
    <w:rsid w:val="42294BE7"/>
    <w:rsid w:val="42530D1B"/>
    <w:rsid w:val="4268747C"/>
    <w:rsid w:val="426F2A72"/>
    <w:rsid w:val="427B5185"/>
    <w:rsid w:val="428626E8"/>
    <w:rsid w:val="428821CC"/>
    <w:rsid w:val="42A032E8"/>
    <w:rsid w:val="42A31E03"/>
    <w:rsid w:val="42A77356"/>
    <w:rsid w:val="42AD2593"/>
    <w:rsid w:val="42AD32ED"/>
    <w:rsid w:val="42B15ADC"/>
    <w:rsid w:val="42C121C5"/>
    <w:rsid w:val="42C7466F"/>
    <w:rsid w:val="42E80997"/>
    <w:rsid w:val="42F90765"/>
    <w:rsid w:val="42FE1F2F"/>
    <w:rsid w:val="431245BD"/>
    <w:rsid w:val="43144163"/>
    <w:rsid w:val="431C4BB4"/>
    <w:rsid w:val="43212F92"/>
    <w:rsid w:val="43294194"/>
    <w:rsid w:val="433D0598"/>
    <w:rsid w:val="434C2D97"/>
    <w:rsid w:val="43554935"/>
    <w:rsid w:val="43592A23"/>
    <w:rsid w:val="435A59DA"/>
    <w:rsid w:val="4360423B"/>
    <w:rsid w:val="436821A0"/>
    <w:rsid w:val="43782581"/>
    <w:rsid w:val="437C70D1"/>
    <w:rsid w:val="4381212E"/>
    <w:rsid w:val="438550D5"/>
    <w:rsid w:val="4397021B"/>
    <w:rsid w:val="43A03C05"/>
    <w:rsid w:val="43A42B24"/>
    <w:rsid w:val="43C608F5"/>
    <w:rsid w:val="43CF5D97"/>
    <w:rsid w:val="43D737CD"/>
    <w:rsid w:val="43E411B2"/>
    <w:rsid w:val="43EA025D"/>
    <w:rsid w:val="43F504AF"/>
    <w:rsid w:val="44220C0A"/>
    <w:rsid w:val="442403A3"/>
    <w:rsid w:val="44387671"/>
    <w:rsid w:val="44405E8A"/>
    <w:rsid w:val="447B1CD9"/>
    <w:rsid w:val="44844C3C"/>
    <w:rsid w:val="448D3B3E"/>
    <w:rsid w:val="44AD06A6"/>
    <w:rsid w:val="44BB38B6"/>
    <w:rsid w:val="44C72A10"/>
    <w:rsid w:val="44C72A8F"/>
    <w:rsid w:val="44D60DD9"/>
    <w:rsid w:val="44E9384B"/>
    <w:rsid w:val="44F8213D"/>
    <w:rsid w:val="44FD4A41"/>
    <w:rsid w:val="450026E7"/>
    <w:rsid w:val="4508448F"/>
    <w:rsid w:val="45093BC7"/>
    <w:rsid w:val="450F6285"/>
    <w:rsid w:val="45352058"/>
    <w:rsid w:val="45420061"/>
    <w:rsid w:val="454D47D9"/>
    <w:rsid w:val="455E2F8F"/>
    <w:rsid w:val="45662CBB"/>
    <w:rsid w:val="45752D2D"/>
    <w:rsid w:val="45761247"/>
    <w:rsid w:val="458166F5"/>
    <w:rsid w:val="458A5ECD"/>
    <w:rsid w:val="45B66D73"/>
    <w:rsid w:val="45BE1C40"/>
    <w:rsid w:val="45CE4AD6"/>
    <w:rsid w:val="45E118D5"/>
    <w:rsid w:val="45EB63A9"/>
    <w:rsid w:val="45F552C4"/>
    <w:rsid w:val="45FA4FDC"/>
    <w:rsid w:val="45FB7FD7"/>
    <w:rsid w:val="45FF221A"/>
    <w:rsid w:val="46024520"/>
    <w:rsid w:val="461568F1"/>
    <w:rsid w:val="462F4E77"/>
    <w:rsid w:val="46477A0D"/>
    <w:rsid w:val="46492C05"/>
    <w:rsid w:val="46546734"/>
    <w:rsid w:val="465D05CC"/>
    <w:rsid w:val="4680300D"/>
    <w:rsid w:val="468F27E1"/>
    <w:rsid w:val="469112BE"/>
    <w:rsid w:val="46D72062"/>
    <w:rsid w:val="46E022A7"/>
    <w:rsid w:val="46F7711C"/>
    <w:rsid w:val="47031A09"/>
    <w:rsid w:val="4705588B"/>
    <w:rsid w:val="47066A99"/>
    <w:rsid w:val="47145424"/>
    <w:rsid w:val="47156F76"/>
    <w:rsid w:val="471652D8"/>
    <w:rsid w:val="47526FE2"/>
    <w:rsid w:val="475C4DA5"/>
    <w:rsid w:val="475D29F5"/>
    <w:rsid w:val="47651B6F"/>
    <w:rsid w:val="47762542"/>
    <w:rsid w:val="47783949"/>
    <w:rsid w:val="47A0769C"/>
    <w:rsid w:val="47A43F63"/>
    <w:rsid w:val="47AD6DB6"/>
    <w:rsid w:val="47D46C97"/>
    <w:rsid w:val="47DB7A0A"/>
    <w:rsid w:val="47EC2EFA"/>
    <w:rsid w:val="47ED2042"/>
    <w:rsid w:val="47F7466C"/>
    <w:rsid w:val="47FA1805"/>
    <w:rsid w:val="47FC3B5D"/>
    <w:rsid w:val="48251375"/>
    <w:rsid w:val="482C61AE"/>
    <w:rsid w:val="48393FA0"/>
    <w:rsid w:val="4839533A"/>
    <w:rsid w:val="48407A3F"/>
    <w:rsid w:val="485377FC"/>
    <w:rsid w:val="48666EC1"/>
    <w:rsid w:val="48686D40"/>
    <w:rsid w:val="48722882"/>
    <w:rsid w:val="48933D54"/>
    <w:rsid w:val="48A43E5F"/>
    <w:rsid w:val="48C775AF"/>
    <w:rsid w:val="48D505BD"/>
    <w:rsid w:val="48D8682E"/>
    <w:rsid w:val="48E22120"/>
    <w:rsid w:val="48E272EB"/>
    <w:rsid w:val="48E54EB7"/>
    <w:rsid w:val="48EE2363"/>
    <w:rsid w:val="490748FD"/>
    <w:rsid w:val="491D3151"/>
    <w:rsid w:val="49265D8A"/>
    <w:rsid w:val="4933044A"/>
    <w:rsid w:val="49356560"/>
    <w:rsid w:val="493B36A7"/>
    <w:rsid w:val="493E52E3"/>
    <w:rsid w:val="49416ED5"/>
    <w:rsid w:val="49432006"/>
    <w:rsid w:val="49457A77"/>
    <w:rsid w:val="494F37CC"/>
    <w:rsid w:val="49671B6D"/>
    <w:rsid w:val="496B1D60"/>
    <w:rsid w:val="496C6F09"/>
    <w:rsid w:val="49751513"/>
    <w:rsid w:val="497A6D9D"/>
    <w:rsid w:val="499C7DF4"/>
    <w:rsid w:val="49CA24F0"/>
    <w:rsid w:val="49E201C4"/>
    <w:rsid w:val="49E258AD"/>
    <w:rsid w:val="49EB44ED"/>
    <w:rsid w:val="49F27422"/>
    <w:rsid w:val="49F3081D"/>
    <w:rsid w:val="49F86004"/>
    <w:rsid w:val="4A1058BC"/>
    <w:rsid w:val="4A1C4646"/>
    <w:rsid w:val="4A2E0F49"/>
    <w:rsid w:val="4A313BB8"/>
    <w:rsid w:val="4A3C18B4"/>
    <w:rsid w:val="4A3E407E"/>
    <w:rsid w:val="4A4007B1"/>
    <w:rsid w:val="4A526D57"/>
    <w:rsid w:val="4A534A13"/>
    <w:rsid w:val="4A5413CA"/>
    <w:rsid w:val="4A556B25"/>
    <w:rsid w:val="4A6E4EF8"/>
    <w:rsid w:val="4A7D23EA"/>
    <w:rsid w:val="4A7F3FCF"/>
    <w:rsid w:val="4A804C3C"/>
    <w:rsid w:val="4A810202"/>
    <w:rsid w:val="4A921383"/>
    <w:rsid w:val="4AA302C7"/>
    <w:rsid w:val="4AB2321E"/>
    <w:rsid w:val="4AB67444"/>
    <w:rsid w:val="4AB768D1"/>
    <w:rsid w:val="4ACF6E14"/>
    <w:rsid w:val="4ADF0E1E"/>
    <w:rsid w:val="4AE41BCB"/>
    <w:rsid w:val="4AEA40B6"/>
    <w:rsid w:val="4AF54BE8"/>
    <w:rsid w:val="4B1352FD"/>
    <w:rsid w:val="4B142597"/>
    <w:rsid w:val="4B1E0585"/>
    <w:rsid w:val="4B222822"/>
    <w:rsid w:val="4B2B30AA"/>
    <w:rsid w:val="4B410D98"/>
    <w:rsid w:val="4B4C7B2E"/>
    <w:rsid w:val="4B4F5F81"/>
    <w:rsid w:val="4B515748"/>
    <w:rsid w:val="4B64138B"/>
    <w:rsid w:val="4B700919"/>
    <w:rsid w:val="4B76314B"/>
    <w:rsid w:val="4B7A48B2"/>
    <w:rsid w:val="4B9B5864"/>
    <w:rsid w:val="4BAE489F"/>
    <w:rsid w:val="4BBD6A12"/>
    <w:rsid w:val="4BC92160"/>
    <w:rsid w:val="4BCF2EBD"/>
    <w:rsid w:val="4BD00E2B"/>
    <w:rsid w:val="4BEB62CB"/>
    <w:rsid w:val="4BFA09E1"/>
    <w:rsid w:val="4C0401BF"/>
    <w:rsid w:val="4C45430A"/>
    <w:rsid w:val="4C6652C4"/>
    <w:rsid w:val="4C812B40"/>
    <w:rsid w:val="4C8F5ACE"/>
    <w:rsid w:val="4CA905A8"/>
    <w:rsid w:val="4CAE59AE"/>
    <w:rsid w:val="4CEE5D84"/>
    <w:rsid w:val="4D02687C"/>
    <w:rsid w:val="4D1064A8"/>
    <w:rsid w:val="4D231AC9"/>
    <w:rsid w:val="4D24794A"/>
    <w:rsid w:val="4D44046E"/>
    <w:rsid w:val="4D4E78CE"/>
    <w:rsid w:val="4D784955"/>
    <w:rsid w:val="4D8B2994"/>
    <w:rsid w:val="4D955117"/>
    <w:rsid w:val="4DB731A3"/>
    <w:rsid w:val="4DBF06B7"/>
    <w:rsid w:val="4DC559FD"/>
    <w:rsid w:val="4DD54EB6"/>
    <w:rsid w:val="4DD7226B"/>
    <w:rsid w:val="4DD86C1B"/>
    <w:rsid w:val="4DED2B90"/>
    <w:rsid w:val="4DF95BFD"/>
    <w:rsid w:val="4DFD52A1"/>
    <w:rsid w:val="4DFE13CB"/>
    <w:rsid w:val="4DFE449F"/>
    <w:rsid w:val="4E1143AC"/>
    <w:rsid w:val="4E13701D"/>
    <w:rsid w:val="4E391E26"/>
    <w:rsid w:val="4E461EB5"/>
    <w:rsid w:val="4E584197"/>
    <w:rsid w:val="4E7C04F5"/>
    <w:rsid w:val="4EB25866"/>
    <w:rsid w:val="4EE5017D"/>
    <w:rsid w:val="4EE75152"/>
    <w:rsid w:val="4EEC5DBF"/>
    <w:rsid w:val="4EEE45BD"/>
    <w:rsid w:val="4F06184B"/>
    <w:rsid w:val="4F13787F"/>
    <w:rsid w:val="4F2C501D"/>
    <w:rsid w:val="4F3972FC"/>
    <w:rsid w:val="4F3F5686"/>
    <w:rsid w:val="4F521F07"/>
    <w:rsid w:val="4F634B8C"/>
    <w:rsid w:val="4F8C4ACC"/>
    <w:rsid w:val="4FBB7E90"/>
    <w:rsid w:val="4FC10E0D"/>
    <w:rsid w:val="4FC478CE"/>
    <w:rsid w:val="4FC878CF"/>
    <w:rsid w:val="4FD22F78"/>
    <w:rsid w:val="4FD74414"/>
    <w:rsid w:val="50005949"/>
    <w:rsid w:val="50065097"/>
    <w:rsid w:val="502A54F7"/>
    <w:rsid w:val="503A4E7F"/>
    <w:rsid w:val="50451271"/>
    <w:rsid w:val="50511600"/>
    <w:rsid w:val="505D7B9B"/>
    <w:rsid w:val="506D0FE8"/>
    <w:rsid w:val="507E3DC3"/>
    <w:rsid w:val="50826892"/>
    <w:rsid w:val="50AD193D"/>
    <w:rsid w:val="50BD2AA9"/>
    <w:rsid w:val="50BF00C9"/>
    <w:rsid w:val="50BF3A64"/>
    <w:rsid w:val="50D32F94"/>
    <w:rsid w:val="50DC2C41"/>
    <w:rsid w:val="50DF2179"/>
    <w:rsid w:val="50E32CC4"/>
    <w:rsid w:val="50EE60C7"/>
    <w:rsid w:val="51002239"/>
    <w:rsid w:val="510C0977"/>
    <w:rsid w:val="510D4B96"/>
    <w:rsid w:val="512264B2"/>
    <w:rsid w:val="51286127"/>
    <w:rsid w:val="514C1FD9"/>
    <w:rsid w:val="51584462"/>
    <w:rsid w:val="515D75DE"/>
    <w:rsid w:val="516A4013"/>
    <w:rsid w:val="51826A80"/>
    <w:rsid w:val="51B50C98"/>
    <w:rsid w:val="51BB4895"/>
    <w:rsid w:val="51C54523"/>
    <w:rsid w:val="51CA1839"/>
    <w:rsid w:val="51CC6B6B"/>
    <w:rsid w:val="51D66E2D"/>
    <w:rsid w:val="51DA294D"/>
    <w:rsid w:val="51DB2A84"/>
    <w:rsid w:val="52451097"/>
    <w:rsid w:val="5249663D"/>
    <w:rsid w:val="524A335F"/>
    <w:rsid w:val="52811688"/>
    <w:rsid w:val="528B7F8E"/>
    <w:rsid w:val="528D2695"/>
    <w:rsid w:val="52975033"/>
    <w:rsid w:val="52A64AF0"/>
    <w:rsid w:val="52AB57F5"/>
    <w:rsid w:val="52B01162"/>
    <w:rsid w:val="52B33C9D"/>
    <w:rsid w:val="52CD5510"/>
    <w:rsid w:val="53055754"/>
    <w:rsid w:val="53255DAD"/>
    <w:rsid w:val="533E4C04"/>
    <w:rsid w:val="534359A9"/>
    <w:rsid w:val="535001D2"/>
    <w:rsid w:val="53605190"/>
    <w:rsid w:val="53660388"/>
    <w:rsid w:val="53735917"/>
    <w:rsid w:val="53815744"/>
    <w:rsid w:val="538601E0"/>
    <w:rsid w:val="53880263"/>
    <w:rsid w:val="53883DFB"/>
    <w:rsid w:val="539C6CE8"/>
    <w:rsid w:val="53B960BE"/>
    <w:rsid w:val="53C01B2E"/>
    <w:rsid w:val="53C06555"/>
    <w:rsid w:val="53E150B6"/>
    <w:rsid w:val="53EF132F"/>
    <w:rsid w:val="54002061"/>
    <w:rsid w:val="54006190"/>
    <w:rsid w:val="54026198"/>
    <w:rsid w:val="54087E2A"/>
    <w:rsid w:val="542B2CCC"/>
    <w:rsid w:val="54323330"/>
    <w:rsid w:val="543A33A8"/>
    <w:rsid w:val="543B6320"/>
    <w:rsid w:val="543F5CC8"/>
    <w:rsid w:val="54530F75"/>
    <w:rsid w:val="54597AD2"/>
    <w:rsid w:val="549D7128"/>
    <w:rsid w:val="54AA7587"/>
    <w:rsid w:val="54BA4223"/>
    <w:rsid w:val="54CB15B2"/>
    <w:rsid w:val="54CC1A29"/>
    <w:rsid w:val="54DC2E7D"/>
    <w:rsid w:val="54E61ABB"/>
    <w:rsid w:val="54E72201"/>
    <w:rsid w:val="54F23A20"/>
    <w:rsid w:val="54FA3B60"/>
    <w:rsid w:val="550914E1"/>
    <w:rsid w:val="5520682A"/>
    <w:rsid w:val="5560199C"/>
    <w:rsid w:val="556713BE"/>
    <w:rsid w:val="558E4FEC"/>
    <w:rsid w:val="559350A2"/>
    <w:rsid w:val="5599768A"/>
    <w:rsid w:val="55B41CFB"/>
    <w:rsid w:val="55BD213A"/>
    <w:rsid w:val="55BF08C3"/>
    <w:rsid w:val="55CB6C0A"/>
    <w:rsid w:val="55E252B1"/>
    <w:rsid w:val="55EF2692"/>
    <w:rsid w:val="56000FCF"/>
    <w:rsid w:val="561273AC"/>
    <w:rsid w:val="56214ECC"/>
    <w:rsid w:val="56237471"/>
    <w:rsid w:val="56283939"/>
    <w:rsid w:val="562E1B08"/>
    <w:rsid w:val="56456E80"/>
    <w:rsid w:val="566311A0"/>
    <w:rsid w:val="567045ED"/>
    <w:rsid w:val="5670506B"/>
    <w:rsid w:val="56764484"/>
    <w:rsid w:val="568531EB"/>
    <w:rsid w:val="568B47B3"/>
    <w:rsid w:val="568F5010"/>
    <w:rsid w:val="56955D05"/>
    <w:rsid w:val="56BC4C73"/>
    <w:rsid w:val="56CA5B2C"/>
    <w:rsid w:val="56D34B36"/>
    <w:rsid w:val="56DA3B7B"/>
    <w:rsid w:val="56DF791A"/>
    <w:rsid w:val="56F02572"/>
    <w:rsid w:val="56F23F6B"/>
    <w:rsid w:val="56F92B08"/>
    <w:rsid w:val="57075B3C"/>
    <w:rsid w:val="572A7140"/>
    <w:rsid w:val="57355AEA"/>
    <w:rsid w:val="57371BE4"/>
    <w:rsid w:val="57583A9C"/>
    <w:rsid w:val="575E4C40"/>
    <w:rsid w:val="57656BE2"/>
    <w:rsid w:val="576B460E"/>
    <w:rsid w:val="57996B06"/>
    <w:rsid w:val="57AB3FE1"/>
    <w:rsid w:val="57B22E9D"/>
    <w:rsid w:val="57B914C2"/>
    <w:rsid w:val="57C63946"/>
    <w:rsid w:val="57C8156E"/>
    <w:rsid w:val="57CD28F6"/>
    <w:rsid w:val="57D46717"/>
    <w:rsid w:val="57D5383D"/>
    <w:rsid w:val="57E73F3C"/>
    <w:rsid w:val="580C11D2"/>
    <w:rsid w:val="580C5152"/>
    <w:rsid w:val="581838FA"/>
    <w:rsid w:val="581D4138"/>
    <w:rsid w:val="58246338"/>
    <w:rsid w:val="582B2A9B"/>
    <w:rsid w:val="58303DC7"/>
    <w:rsid w:val="583C4EE2"/>
    <w:rsid w:val="584F10A3"/>
    <w:rsid w:val="58554506"/>
    <w:rsid w:val="586C2B76"/>
    <w:rsid w:val="587943DF"/>
    <w:rsid w:val="587F4DE5"/>
    <w:rsid w:val="588D5D2B"/>
    <w:rsid w:val="58AB09CC"/>
    <w:rsid w:val="58B32D13"/>
    <w:rsid w:val="58BA4110"/>
    <w:rsid w:val="58BE4272"/>
    <w:rsid w:val="58BF477B"/>
    <w:rsid w:val="58C52763"/>
    <w:rsid w:val="58CB5468"/>
    <w:rsid w:val="58D8228D"/>
    <w:rsid w:val="58E23B40"/>
    <w:rsid w:val="59061900"/>
    <w:rsid w:val="590F0809"/>
    <w:rsid w:val="591038CB"/>
    <w:rsid w:val="591A1C6C"/>
    <w:rsid w:val="59296823"/>
    <w:rsid w:val="59435E89"/>
    <w:rsid w:val="596C0671"/>
    <w:rsid w:val="597D0610"/>
    <w:rsid w:val="59863749"/>
    <w:rsid w:val="59955118"/>
    <w:rsid w:val="59A93EC7"/>
    <w:rsid w:val="59B234D9"/>
    <w:rsid w:val="59B27EF8"/>
    <w:rsid w:val="59B916F1"/>
    <w:rsid w:val="59BC13C7"/>
    <w:rsid w:val="5A0743BF"/>
    <w:rsid w:val="5A0A49A9"/>
    <w:rsid w:val="5A1E5205"/>
    <w:rsid w:val="5A25591F"/>
    <w:rsid w:val="5A3478C4"/>
    <w:rsid w:val="5A403C12"/>
    <w:rsid w:val="5A47128E"/>
    <w:rsid w:val="5A5A0647"/>
    <w:rsid w:val="5A5E5E9A"/>
    <w:rsid w:val="5A6F3194"/>
    <w:rsid w:val="5A717962"/>
    <w:rsid w:val="5AA33BE2"/>
    <w:rsid w:val="5AA442BB"/>
    <w:rsid w:val="5AAA6290"/>
    <w:rsid w:val="5AB12EA8"/>
    <w:rsid w:val="5ABD148F"/>
    <w:rsid w:val="5AC94075"/>
    <w:rsid w:val="5ACC22A4"/>
    <w:rsid w:val="5AF422D3"/>
    <w:rsid w:val="5AFA114A"/>
    <w:rsid w:val="5B036C23"/>
    <w:rsid w:val="5B120548"/>
    <w:rsid w:val="5B131847"/>
    <w:rsid w:val="5B1C5349"/>
    <w:rsid w:val="5B391217"/>
    <w:rsid w:val="5B39381E"/>
    <w:rsid w:val="5B4419BF"/>
    <w:rsid w:val="5B4459FE"/>
    <w:rsid w:val="5B450977"/>
    <w:rsid w:val="5B555F29"/>
    <w:rsid w:val="5B76600B"/>
    <w:rsid w:val="5B781D16"/>
    <w:rsid w:val="5B7B169A"/>
    <w:rsid w:val="5B955A90"/>
    <w:rsid w:val="5BA52140"/>
    <w:rsid w:val="5BBD7803"/>
    <w:rsid w:val="5BD530AF"/>
    <w:rsid w:val="5BD607CF"/>
    <w:rsid w:val="5BD804B4"/>
    <w:rsid w:val="5BDF212D"/>
    <w:rsid w:val="5BFD07B4"/>
    <w:rsid w:val="5BFD78BF"/>
    <w:rsid w:val="5C07634F"/>
    <w:rsid w:val="5C16775A"/>
    <w:rsid w:val="5C661547"/>
    <w:rsid w:val="5C770EE3"/>
    <w:rsid w:val="5C884002"/>
    <w:rsid w:val="5C962F89"/>
    <w:rsid w:val="5CAE4414"/>
    <w:rsid w:val="5CB43C90"/>
    <w:rsid w:val="5CC639DF"/>
    <w:rsid w:val="5CCA48A0"/>
    <w:rsid w:val="5CCF0C66"/>
    <w:rsid w:val="5CD16C3C"/>
    <w:rsid w:val="5CE84DAA"/>
    <w:rsid w:val="5CF45CA6"/>
    <w:rsid w:val="5D00050C"/>
    <w:rsid w:val="5D1A0D2D"/>
    <w:rsid w:val="5D261967"/>
    <w:rsid w:val="5D285683"/>
    <w:rsid w:val="5D400AC0"/>
    <w:rsid w:val="5D401AD3"/>
    <w:rsid w:val="5D456D12"/>
    <w:rsid w:val="5D5561A6"/>
    <w:rsid w:val="5D5670BB"/>
    <w:rsid w:val="5D584179"/>
    <w:rsid w:val="5D5C355C"/>
    <w:rsid w:val="5D6E48E2"/>
    <w:rsid w:val="5D933BA3"/>
    <w:rsid w:val="5DD83721"/>
    <w:rsid w:val="5DE336CF"/>
    <w:rsid w:val="5DED7B51"/>
    <w:rsid w:val="5E0370A5"/>
    <w:rsid w:val="5E10694A"/>
    <w:rsid w:val="5E1069F0"/>
    <w:rsid w:val="5E185F9B"/>
    <w:rsid w:val="5E2011DC"/>
    <w:rsid w:val="5E253AFA"/>
    <w:rsid w:val="5E5246FE"/>
    <w:rsid w:val="5E5D10DD"/>
    <w:rsid w:val="5E681591"/>
    <w:rsid w:val="5E716FFE"/>
    <w:rsid w:val="5E8438E9"/>
    <w:rsid w:val="5E907F03"/>
    <w:rsid w:val="5EBC2142"/>
    <w:rsid w:val="5EEF16A0"/>
    <w:rsid w:val="5EFA4233"/>
    <w:rsid w:val="5F0E1DD1"/>
    <w:rsid w:val="5F105D32"/>
    <w:rsid w:val="5F18041D"/>
    <w:rsid w:val="5F1F2203"/>
    <w:rsid w:val="5F357E25"/>
    <w:rsid w:val="5F3E3520"/>
    <w:rsid w:val="5F417D2B"/>
    <w:rsid w:val="5F7C2ED4"/>
    <w:rsid w:val="5F852A71"/>
    <w:rsid w:val="5F8B624F"/>
    <w:rsid w:val="5F8E500B"/>
    <w:rsid w:val="5F93582F"/>
    <w:rsid w:val="5FC70775"/>
    <w:rsid w:val="5FD422DA"/>
    <w:rsid w:val="5FD777B5"/>
    <w:rsid w:val="5FD96946"/>
    <w:rsid w:val="5FE05336"/>
    <w:rsid w:val="600017AC"/>
    <w:rsid w:val="6010163B"/>
    <w:rsid w:val="60174611"/>
    <w:rsid w:val="60384EBC"/>
    <w:rsid w:val="604B518E"/>
    <w:rsid w:val="606E46BF"/>
    <w:rsid w:val="60720160"/>
    <w:rsid w:val="60771496"/>
    <w:rsid w:val="607C7555"/>
    <w:rsid w:val="608616BB"/>
    <w:rsid w:val="60877816"/>
    <w:rsid w:val="6089379F"/>
    <w:rsid w:val="6097306A"/>
    <w:rsid w:val="60A628C4"/>
    <w:rsid w:val="60AB093C"/>
    <w:rsid w:val="60AD1BC0"/>
    <w:rsid w:val="60BB22CB"/>
    <w:rsid w:val="60CC6E94"/>
    <w:rsid w:val="60DA1962"/>
    <w:rsid w:val="60F91F90"/>
    <w:rsid w:val="61056C0C"/>
    <w:rsid w:val="61072768"/>
    <w:rsid w:val="611169F9"/>
    <w:rsid w:val="611440D2"/>
    <w:rsid w:val="612D0241"/>
    <w:rsid w:val="613623E3"/>
    <w:rsid w:val="614A19E3"/>
    <w:rsid w:val="61621557"/>
    <w:rsid w:val="616E037A"/>
    <w:rsid w:val="617139BA"/>
    <w:rsid w:val="61784C37"/>
    <w:rsid w:val="6194066E"/>
    <w:rsid w:val="61943419"/>
    <w:rsid w:val="619F5DE1"/>
    <w:rsid w:val="61C4510A"/>
    <w:rsid w:val="61CD3A07"/>
    <w:rsid w:val="61E21A16"/>
    <w:rsid w:val="61EC258E"/>
    <w:rsid w:val="61EF0531"/>
    <w:rsid w:val="61FA749B"/>
    <w:rsid w:val="61FF1039"/>
    <w:rsid w:val="62085794"/>
    <w:rsid w:val="621D4E3B"/>
    <w:rsid w:val="621E0995"/>
    <w:rsid w:val="622466B8"/>
    <w:rsid w:val="62513141"/>
    <w:rsid w:val="625F6B11"/>
    <w:rsid w:val="626D06B6"/>
    <w:rsid w:val="628913A4"/>
    <w:rsid w:val="62A25EEE"/>
    <w:rsid w:val="62A966A3"/>
    <w:rsid w:val="62B05D47"/>
    <w:rsid w:val="62B26EE7"/>
    <w:rsid w:val="62B42A8B"/>
    <w:rsid w:val="62B52ADC"/>
    <w:rsid w:val="62DC1C5D"/>
    <w:rsid w:val="62EC21A8"/>
    <w:rsid w:val="62F13686"/>
    <w:rsid w:val="62F54802"/>
    <w:rsid w:val="62F831CC"/>
    <w:rsid w:val="631D4EAD"/>
    <w:rsid w:val="631D6B4A"/>
    <w:rsid w:val="63201721"/>
    <w:rsid w:val="634D4F7C"/>
    <w:rsid w:val="63683E84"/>
    <w:rsid w:val="637656BF"/>
    <w:rsid w:val="637E3655"/>
    <w:rsid w:val="63941893"/>
    <w:rsid w:val="63A5521E"/>
    <w:rsid w:val="63B5107A"/>
    <w:rsid w:val="63C65DA7"/>
    <w:rsid w:val="63CE0F01"/>
    <w:rsid w:val="63D14DBF"/>
    <w:rsid w:val="63D65144"/>
    <w:rsid w:val="64051BEF"/>
    <w:rsid w:val="64165664"/>
    <w:rsid w:val="641740A5"/>
    <w:rsid w:val="641C210D"/>
    <w:rsid w:val="641F48BD"/>
    <w:rsid w:val="642F31C1"/>
    <w:rsid w:val="644F12CB"/>
    <w:rsid w:val="6457142B"/>
    <w:rsid w:val="64737929"/>
    <w:rsid w:val="647B52FC"/>
    <w:rsid w:val="64847978"/>
    <w:rsid w:val="64942616"/>
    <w:rsid w:val="64A16CE5"/>
    <w:rsid w:val="64A90AB1"/>
    <w:rsid w:val="64C534C8"/>
    <w:rsid w:val="64D37241"/>
    <w:rsid w:val="64D400DE"/>
    <w:rsid w:val="64D70082"/>
    <w:rsid w:val="64F002E2"/>
    <w:rsid w:val="64F30098"/>
    <w:rsid w:val="64F7344A"/>
    <w:rsid w:val="65241EDC"/>
    <w:rsid w:val="65264166"/>
    <w:rsid w:val="65307FEC"/>
    <w:rsid w:val="653F6A3F"/>
    <w:rsid w:val="65494C1C"/>
    <w:rsid w:val="655A3DFA"/>
    <w:rsid w:val="657E30A9"/>
    <w:rsid w:val="657E31F2"/>
    <w:rsid w:val="658060B9"/>
    <w:rsid w:val="65975E82"/>
    <w:rsid w:val="65A63F82"/>
    <w:rsid w:val="65AE01B3"/>
    <w:rsid w:val="65AE0F09"/>
    <w:rsid w:val="65B03AE7"/>
    <w:rsid w:val="65CC78B9"/>
    <w:rsid w:val="65D06D31"/>
    <w:rsid w:val="65D50A3D"/>
    <w:rsid w:val="65E87252"/>
    <w:rsid w:val="65EE5D4D"/>
    <w:rsid w:val="65FE27D4"/>
    <w:rsid w:val="660B4B80"/>
    <w:rsid w:val="661124FF"/>
    <w:rsid w:val="662361E9"/>
    <w:rsid w:val="662D4D8D"/>
    <w:rsid w:val="662F455E"/>
    <w:rsid w:val="663C690A"/>
    <w:rsid w:val="6645299D"/>
    <w:rsid w:val="664C7281"/>
    <w:rsid w:val="6651786C"/>
    <w:rsid w:val="66631A14"/>
    <w:rsid w:val="666673EC"/>
    <w:rsid w:val="666C0C50"/>
    <w:rsid w:val="666C7032"/>
    <w:rsid w:val="666F76B6"/>
    <w:rsid w:val="667743AF"/>
    <w:rsid w:val="66932939"/>
    <w:rsid w:val="66C52015"/>
    <w:rsid w:val="66D54C1B"/>
    <w:rsid w:val="66E7572C"/>
    <w:rsid w:val="66ED2139"/>
    <w:rsid w:val="66F22D0D"/>
    <w:rsid w:val="670E0F2B"/>
    <w:rsid w:val="671630EB"/>
    <w:rsid w:val="6743277A"/>
    <w:rsid w:val="676C4AB5"/>
    <w:rsid w:val="676F26D2"/>
    <w:rsid w:val="678F649B"/>
    <w:rsid w:val="67AB7B02"/>
    <w:rsid w:val="67B2399A"/>
    <w:rsid w:val="67D464B8"/>
    <w:rsid w:val="67E07D3B"/>
    <w:rsid w:val="67E30C8B"/>
    <w:rsid w:val="67F02798"/>
    <w:rsid w:val="67FA7136"/>
    <w:rsid w:val="680679AA"/>
    <w:rsid w:val="680D61D8"/>
    <w:rsid w:val="68167EE5"/>
    <w:rsid w:val="68214378"/>
    <w:rsid w:val="68247CCC"/>
    <w:rsid w:val="6825166C"/>
    <w:rsid w:val="682B7F70"/>
    <w:rsid w:val="68626FCB"/>
    <w:rsid w:val="68707736"/>
    <w:rsid w:val="68926AF9"/>
    <w:rsid w:val="689A35C9"/>
    <w:rsid w:val="68AA2A3C"/>
    <w:rsid w:val="68AC059C"/>
    <w:rsid w:val="68AD345C"/>
    <w:rsid w:val="68D546D4"/>
    <w:rsid w:val="68EB100A"/>
    <w:rsid w:val="68FD7CB0"/>
    <w:rsid w:val="69212818"/>
    <w:rsid w:val="69516294"/>
    <w:rsid w:val="695479F2"/>
    <w:rsid w:val="695562F7"/>
    <w:rsid w:val="695F3669"/>
    <w:rsid w:val="6985415F"/>
    <w:rsid w:val="69881892"/>
    <w:rsid w:val="698B468F"/>
    <w:rsid w:val="699252C0"/>
    <w:rsid w:val="69A20409"/>
    <w:rsid w:val="69C118D2"/>
    <w:rsid w:val="69D403C5"/>
    <w:rsid w:val="69DA53C8"/>
    <w:rsid w:val="6A034178"/>
    <w:rsid w:val="6A047D8E"/>
    <w:rsid w:val="6A1271FD"/>
    <w:rsid w:val="6A17624E"/>
    <w:rsid w:val="6A404FD5"/>
    <w:rsid w:val="6A815756"/>
    <w:rsid w:val="6A87687E"/>
    <w:rsid w:val="6A8D3A59"/>
    <w:rsid w:val="6ABA0A96"/>
    <w:rsid w:val="6ACB26CB"/>
    <w:rsid w:val="6ADA7C3A"/>
    <w:rsid w:val="6AE40A4D"/>
    <w:rsid w:val="6AF66CBD"/>
    <w:rsid w:val="6B147E21"/>
    <w:rsid w:val="6B183FCC"/>
    <w:rsid w:val="6B385B54"/>
    <w:rsid w:val="6B4316CB"/>
    <w:rsid w:val="6B4F37F9"/>
    <w:rsid w:val="6B595C89"/>
    <w:rsid w:val="6B5C06F0"/>
    <w:rsid w:val="6B667FE5"/>
    <w:rsid w:val="6B6852E4"/>
    <w:rsid w:val="6B764142"/>
    <w:rsid w:val="6B7B6B59"/>
    <w:rsid w:val="6B88563B"/>
    <w:rsid w:val="6B9D1576"/>
    <w:rsid w:val="6B9F341C"/>
    <w:rsid w:val="6BB050C7"/>
    <w:rsid w:val="6BD34E56"/>
    <w:rsid w:val="6C242402"/>
    <w:rsid w:val="6C285C07"/>
    <w:rsid w:val="6C2B6A38"/>
    <w:rsid w:val="6C416177"/>
    <w:rsid w:val="6C4345F6"/>
    <w:rsid w:val="6C4B6979"/>
    <w:rsid w:val="6C500100"/>
    <w:rsid w:val="6C530F1B"/>
    <w:rsid w:val="6C5E7E5F"/>
    <w:rsid w:val="6C612280"/>
    <w:rsid w:val="6C706EC7"/>
    <w:rsid w:val="6C830D5F"/>
    <w:rsid w:val="6C904127"/>
    <w:rsid w:val="6C950B5C"/>
    <w:rsid w:val="6C9A6F98"/>
    <w:rsid w:val="6C9B4FE9"/>
    <w:rsid w:val="6C9C3612"/>
    <w:rsid w:val="6CB52CBD"/>
    <w:rsid w:val="6CBB5734"/>
    <w:rsid w:val="6CCC12C7"/>
    <w:rsid w:val="6CE943E8"/>
    <w:rsid w:val="6CF60107"/>
    <w:rsid w:val="6CF6117C"/>
    <w:rsid w:val="6D0C2841"/>
    <w:rsid w:val="6D171A3D"/>
    <w:rsid w:val="6D185B32"/>
    <w:rsid w:val="6D275587"/>
    <w:rsid w:val="6D2B4CB9"/>
    <w:rsid w:val="6D2C16A6"/>
    <w:rsid w:val="6D2C6706"/>
    <w:rsid w:val="6D2D1CDC"/>
    <w:rsid w:val="6D31444F"/>
    <w:rsid w:val="6D3B7D26"/>
    <w:rsid w:val="6D443D3B"/>
    <w:rsid w:val="6D58691B"/>
    <w:rsid w:val="6D5F7926"/>
    <w:rsid w:val="6D632A98"/>
    <w:rsid w:val="6D72550F"/>
    <w:rsid w:val="6D7A0000"/>
    <w:rsid w:val="6D7A28F7"/>
    <w:rsid w:val="6D8F2BA2"/>
    <w:rsid w:val="6D957999"/>
    <w:rsid w:val="6DA14469"/>
    <w:rsid w:val="6DA42CFC"/>
    <w:rsid w:val="6DAF0301"/>
    <w:rsid w:val="6DB51B1C"/>
    <w:rsid w:val="6DD50EFF"/>
    <w:rsid w:val="6DDA5F8F"/>
    <w:rsid w:val="6DDC1D59"/>
    <w:rsid w:val="6DE07741"/>
    <w:rsid w:val="6DE6490D"/>
    <w:rsid w:val="6DEB08B5"/>
    <w:rsid w:val="6DF2658B"/>
    <w:rsid w:val="6E017641"/>
    <w:rsid w:val="6E044E8F"/>
    <w:rsid w:val="6E523591"/>
    <w:rsid w:val="6E55446B"/>
    <w:rsid w:val="6E564745"/>
    <w:rsid w:val="6E732918"/>
    <w:rsid w:val="6E751781"/>
    <w:rsid w:val="6E7918B9"/>
    <w:rsid w:val="6E7B780A"/>
    <w:rsid w:val="6E923E3E"/>
    <w:rsid w:val="6E9E03E4"/>
    <w:rsid w:val="6EB71B2C"/>
    <w:rsid w:val="6ED22FB9"/>
    <w:rsid w:val="6ED71320"/>
    <w:rsid w:val="6EF13B6B"/>
    <w:rsid w:val="6EFC1009"/>
    <w:rsid w:val="6EFE0934"/>
    <w:rsid w:val="6F055507"/>
    <w:rsid w:val="6F1848DF"/>
    <w:rsid w:val="6F1E0C40"/>
    <w:rsid w:val="6F1F4825"/>
    <w:rsid w:val="6F203094"/>
    <w:rsid w:val="6F2531DB"/>
    <w:rsid w:val="6F27494C"/>
    <w:rsid w:val="6F477B02"/>
    <w:rsid w:val="6F4D2D94"/>
    <w:rsid w:val="6F585234"/>
    <w:rsid w:val="6F5A7988"/>
    <w:rsid w:val="6F5E6134"/>
    <w:rsid w:val="6F605260"/>
    <w:rsid w:val="6F6551A1"/>
    <w:rsid w:val="6F7B7810"/>
    <w:rsid w:val="6F885A6F"/>
    <w:rsid w:val="6F891AD8"/>
    <w:rsid w:val="6F8D354F"/>
    <w:rsid w:val="6F8D5305"/>
    <w:rsid w:val="6F9E5020"/>
    <w:rsid w:val="6FA75226"/>
    <w:rsid w:val="6FBA5915"/>
    <w:rsid w:val="6FC66B60"/>
    <w:rsid w:val="6FCE6CD7"/>
    <w:rsid w:val="6FD26E7A"/>
    <w:rsid w:val="6FD43E1B"/>
    <w:rsid w:val="6FE427DA"/>
    <w:rsid w:val="6FEF3EF2"/>
    <w:rsid w:val="6FF03582"/>
    <w:rsid w:val="6FF232DA"/>
    <w:rsid w:val="6FFB77FB"/>
    <w:rsid w:val="6FFC23F2"/>
    <w:rsid w:val="700710ED"/>
    <w:rsid w:val="70084FEB"/>
    <w:rsid w:val="700B5603"/>
    <w:rsid w:val="701630FE"/>
    <w:rsid w:val="70204522"/>
    <w:rsid w:val="70247B6F"/>
    <w:rsid w:val="7031664B"/>
    <w:rsid w:val="70365FE6"/>
    <w:rsid w:val="706039ED"/>
    <w:rsid w:val="7067558C"/>
    <w:rsid w:val="70717461"/>
    <w:rsid w:val="70787617"/>
    <w:rsid w:val="707E3693"/>
    <w:rsid w:val="707E5C03"/>
    <w:rsid w:val="708616A5"/>
    <w:rsid w:val="70942367"/>
    <w:rsid w:val="709A1091"/>
    <w:rsid w:val="709B6224"/>
    <w:rsid w:val="70A93CE9"/>
    <w:rsid w:val="70AA53E4"/>
    <w:rsid w:val="70B8414F"/>
    <w:rsid w:val="70C64009"/>
    <w:rsid w:val="70C877FD"/>
    <w:rsid w:val="70CA080A"/>
    <w:rsid w:val="70D71121"/>
    <w:rsid w:val="70DE2212"/>
    <w:rsid w:val="70F24FE2"/>
    <w:rsid w:val="70FE400C"/>
    <w:rsid w:val="70FF44FC"/>
    <w:rsid w:val="71114923"/>
    <w:rsid w:val="711644E9"/>
    <w:rsid w:val="71174536"/>
    <w:rsid w:val="71351151"/>
    <w:rsid w:val="713611F3"/>
    <w:rsid w:val="713C2232"/>
    <w:rsid w:val="714832A7"/>
    <w:rsid w:val="714B3481"/>
    <w:rsid w:val="715E7A40"/>
    <w:rsid w:val="71613344"/>
    <w:rsid w:val="7173151C"/>
    <w:rsid w:val="717F7D3E"/>
    <w:rsid w:val="718650EE"/>
    <w:rsid w:val="71A65E60"/>
    <w:rsid w:val="71AE0DCE"/>
    <w:rsid w:val="71B141CB"/>
    <w:rsid w:val="71B63168"/>
    <w:rsid w:val="71B92834"/>
    <w:rsid w:val="71D7233D"/>
    <w:rsid w:val="71E51D6F"/>
    <w:rsid w:val="71E80A0C"/>
    <w:rsid w:val="71E930D1"/>
    <w:rsid w:val="71EC4F10"/>
    <w:rsid w:val="71F370AB"/>
    <w:rsid w:val="71F84143"/>
    <w:rsid w:val="71F93AD6"/>
    <w:rsid w:val="7205094B"/>
    <w:rsid w:val="720D1D6C"/>
    <w:rsid w:val="721E6C1D"/>
    <w:rsid w:val="723C7EBD"/>
    <w:rsid w:val="72443D2F"/>
    <w:rsid w:val="72464965"/>
    <w:rsid w:val="724F4A8F"/>
    <w:rsid w:val="7255012E"/>
    <w:rsid w:val="72561BCA"/>
    <w:rsid w:val="72626764"/>
    <w:rsid w:val="72665C2D"/>
    <w:rsid w:val="726E3B26"/>
    <w:rsid w:val="72703FF4"/>
    <w:rsid w:val="72750848"/>
    <w:rsid w:val="727B46E2"/>
    <w:rsid w:val="72803A76"/>
    <w:rsid w:val="728D2EDA"/>
    <w:rsid w:val="729E0666"/>
    <w:rsid w:val="72A113AF"/>
    <w:rsid w:val="72A35BED"/>
    <w:rsid w:val="72AC705C"/>
    <w:rsid w:val="72B210B7"/>
    <w:rsid w:val="72B50D7F"/>
    <w:rsid w:val="72C62802"/>
    <w:rsid w:val="72D94140"/>
    <w:rsid w:val="72E6119F"/>
    <w:rsid w:val="72EC41B8"/>
    <w:rsid w:val="72F818DD"/>
    <w:rsid w:val="73207953"/>
    <w:rsid w:val="732A57F9"/>
    <w:rsid w:val="733411F7"/>
    <w:rsid w:val="7336228F"/>
    <w:rsid w:val="733C5518"/>
    <w:rsid w:val="734C12E6"/>
    <w:rsid w:val="734D2CE5"/>
    <w:rsid w:val="735A51D1"/>
    <w:rsid w:val="7385220C"/>
    <w:rsid w:val="738A7C80"/>
    <w:rsid w:val="73AA19D8"/>
    <w:rsid w:val="73AE58C0"/>
    <w:rsid w:val="73B252A9"/>
    <w:rsid w:val="73B805C9"/>
    <w:rsid w:val="73C95A83"/>
    <w:rsid w:val="73D56FB2"/>
    <w:rsid w:val="73DD1314"/>
    <w:rsid w:val="73DE2413"/>
    <w:rsid w:val="73E10621"/>
    <w:rsid w:val="73F92390"/>
    <w:rsid w:val="740739AF"/>
    <w:rsid w:val="740F304E"/>
    <w:rsid w:val="74122B14"/>
    <w:rsid w:val="74147A6F"/>
    <w:rsid w:val="74155EA5"/>
    <w:rsid w:val="742F6B38"/>
    <w:rsid w:val="7438570E"/>
    <w:rsid w:val="743E48BF"/>
    <w:rsid w:val="74413262"/>
    <w:rsid w:val="74423365"/>
    <w:rsid w:val="74463B47"/>
    <w:rsid w:val="744E524C"/>
    <w:rsid w:val="7459468F"/>
    <w:rsid w:val="745F30B9"/>
    <w:rsid w:val="746F7734"/>
    <w:rsid w:val="7498078E"/>
    <w:rsid w:val="74B7187E"/>
    <w:rsid w:val="74BF3091"/>
    <w:rsid w:val="74CD07A9"/>
    <w:rsid w:val="74CF23BB"/>
    <w:rsid w:val="74D546E6"/>
    <w:rsid w:val="74D843D8"/>
    <w:rsid w:val="74DF2816"/>
    <w:rsid w:val="74F40298"/>
    <w:rsid w:val="74F53E28"/>
    <w:rsid w:val="75084071"/>
    <w:rsid w:val="75117919"/>
    <w:rsid w:val="75200FC2"/>
    <w:rsid w:val="752548D4"/>
    <w:rsid w:val="75283F4A"/>
    <w:rsid w:val="752F310E"/>
    <w:rsid w:val="75502FF4"/>
    <w:rsid w:val="756203A3"/>
    <w:rsid w:val="75680798"/>
    <w:rsid w:val="75860B1D"/>
    <w:rsid w:val="75897EE8"/>
    <w:rsid w:val="75963C59"/>
    <w:rsid w:val="75A96477"/>
    <w:rsid w:val="75AD14D8"/>
    <w:rsid w:val="75B406C9"/>
    <w:rsid w:val="75BD3927"/>
    <w:rsid w:val="75D056B5"/>
    <w:rsid w:val="75D17D97"/>
    <w:rsid w:val="75D825E1"/>
    <w:rsid w:val="75E40A4D"/>
    <w:rsid w:val="75EE7645"/>
    <w:rsid w:val="75F53CA7"/>
    <w:rsid w:val="76074DE9"/>
    <w:rsid w:val="76117834"/>
    <w:rsid w:val="761D04E9"/>
    <w:rsid w:val="763E0C5C"/>
    <w:rsid w:val="76445821"/>
    <w:rsid w:val="764E5495"/>
    <w:rsid w:val="765702CB"/>
    <w:rsid w:val="76593FC0"/>
    <w:rsid w:val="7662400F"/>
    <w:rsid w:val="767A4B6F"/>
    <w:rsid w:val="767B105A"/>
    <w:rsid w:val="76947626"/>
    <w:rsid w:val="76C82A23"/>
    <w:rsid w:val="76CF3948"/>
    <w:rsid w:val="76D05C57"/>
    <w:rsid w:val="76F95108"/>
    <w:rsid w:val="76FC22B8"/>
    <w:rsid w:val="77067ABA"/>
    <w:rsid w:val="77245A7D"/>
    <w:rsid w:val="77286022"/>
    <w:rsid w:val="772F52F3"/>
    <w:rsid w:val="773C7CD0"/>
    <w:rsid w:val="775F3CDE"/>
    <w:rsid w:val="777C4D65"/>
    <w:rsid w:val="777D3833"/>
    <w:rsid w:val="778D3FF6"/>
    <w:rsid w:val="77BA3C57"/>
    <w:rsid w:val="77D242FD"/>
    <w:rsid w:val="77E9201F"/>
    <w:rsid w:val="77F74EEE"/>
    <w:rsid w:val="77F95DF4"/>
    <w:rsid w:val="77FB0B25"/>
    <w:rsid w:val="78010FB9"/>
    <w:rsid w:val="780F6171"/>
    <w:rsid w:val="78146FB7"/>
    <w:rsid w:val="781601C0"/>
    <w:rsid w:val="781B29A1"/>
    <w:rsid w:val="78265DF5"/>
    <w:rsid w:val="783017BD"/>
    <w:rsid w:val="78342252"/>
    <w:rsid w:val="783A7975"/>
    <w:rsid w:val="786B56F3"/>
    <w:rsid w:val="787462BD"/>
    <w:rsid w:val="7885067E"/>
    <w:rsid w:val="788522E0"/>
    <w:rsid w:val="788B6981"/>
    <w:rsid w:val="7890148D"/>
    <w:rsid w:val="78AB5A07"/>
    <w:rsid w:val="78B569F8"/>
    <w:rsid w:val="78CC633C"/>
    <w:rsid w:val="78D2270D"/>
    <w:rsid w:val="78E82ABA"/>
    <w:rsid w:val="78F26FDC"/>
    <w:rsid w:val="78F44ABE"/>
    <w:rsid w:val="79091B55"/>
    <w:rsid w:val="79295C3D"/>
    <w:rsid w:val="79392127"/>
    <w:rsid w:val="793A152A"/>
    <w:rsid w:val="795B5FA1"/>
    <w:rsid w:val="79693372"/>
    <w:rsid w:val="79760DAF"/>
    <w:rsid w:val="797D3B1D"/>
    <w:rsid w:val="798032FB"/>
    <w:rsid w:val="79876BE5"/>
    <w:rsid w:val="799856BA"/>
    <w:rsid w:val="79A9499E"/>
    <w:rsid w:val="79B54936"/>
    <w:rsid w:val="79CA582F"/>
    <w:rsid w:val="79D23161"/>
    <w:rsid w:val="79EF5525"/>
    <w:rsid w:val="79FB5C41"/>
    <w:rsid w:val="7A001899"/>
    <w:rsid w:val="7A171DC1"/>
    <w:rsid w:val="7A286165"/>
    <w:rsid w:val="7A396D9F"/>
    <w:rsid w:val="7A3E6C2D"/>
    <w:rsid w:val="7A4070DD"/>
    <w:rsid w:val="7A472A09"/>
    <w:rsid w:val="7A5362F9"/>
    <w:rsid w:val="7A58065B"/>
    <w:rsid w:val="7A63727C"/>
    <w:rsid w:val="7A7761A5"/>
    <w:rsid w:val="7A781F51"/>
    <w:rsid w:val="7A8073D7"/>
    <w:rsid w:val="7A847F3A"/>
    <w:rsid w:val="7A954D59"/>
    <w:rsid w:val="7AA74C7E"/>
    <w:rsid w:val="7AA77183"/>
    <w:rsid w:val="7AB42CF7"/>
    <w:rsid w:val="7AB7392A"/>
    <w:rsid w:val="7ABA449B"/>
    <w:rsid w:val="7ABC322C"/>
    <w:rsid w:val="7AC254CC"/>
    <w:rsid w:val="7AD410D0"/>
    <w:rsid w:val="7AEC36DC"/>
    <w:rsid w:val="7AF7636D"/>
    <w:rsid w:val="7B040973"/>
    <w:rsid w:val="7B083714"/>
    <w:rsid w:val="7B164EDF"/>
    <w:rsid w:val="7B1A0976"/>
    <w:rsid w:val="7B27606A"/>
    <w:rsid w:val="7B397409"/>
    <w:rsid w:val="7B4218C2"/>
    <w:rsid w:val="7B587DC0"/>
    <w:rsid w:val="7B6A7522"/>
    <w:rsid w:val="7B7E61B1"/>
    <w:rsid w:val="7B8317EE"/>
    <w:rsid w:val="7B8734D4"/>
    <w:rsid w:val="7B892C88"/>
    <w:rsid w:val="7BAC489A"/>
    <w:rsid w:val="7BB95EE2"/>
    <w:rsid w:val="7BED5967"/>
    <w:rsid w:val="7BF04C65"/>
    <w:rsid w:val="7C027F62"/>
    <w:rsid w:val="7C0472D4"/>
    <w:rsid w:val="7C124140"/>
    <w:rsid w:val="7C224A25"/>
    <w:rsid w:val="7C307B91"/>
    <w:rsid w:val="7C373DBD"/>
    <w:rsid w:val="7C410012"/>
    <w:rsid w:val="7C4308F6"/>
    <w:rsid w:val="7C6E5B51"/>
    <w:rsid w:val="7C76500E"/>
    <w:rsid w:val="7C7E2870"/>
    <w:rsid w:val="7C830261"/>
    <w:rsid w:val="7C872DAE"/>
    <w:rsid w:val="7CA45FBB"/>
    <w:rsid w:val="7CA65E5D"/>
    <w:rsid w:val="7CB45F55"/>
    <w:rsid w:val="7CBD20C2"/>
    <w:rsid w:val="7CD0104B"/>
    <w:rsid w:val="7CD64F93"/>
    <w:rsid w:val="7CDA2E58"/>
    <w:rsid w:val="7CDE6F2A"/>
    <w:rsid w:val="7CEB623C"/>
    <w:rsid w:val="7D067E41"/>
    <w:rsid w:val="7D091FA7"/>
    <w:rsid w:val="7D0A111D"/>
    <w:rsid w:val="7D254E37"/>
    <w:rsid w:val="7D2C0BF9"/>
    <w:rsid w:val="7D6834EC"/>
    <w:rsid w:val="7D921B0A"/>
    <w:rsid w:val="7D983226"/>
    <w:rsid w:val="7D9A6A41"/>
    <w:rsid w:val="7D9F7C8E"/>
    <w:rsid w:val="7DAC31A6"/>
    <w:rsid w:val="7DAD08AA"/>
    <w:rsid w:val="7DB16EF8"/>
    <w:rsid w:val="7DBB3FFB"/>
    <w:rsid w:val="7DEC6221"/>
    <w:rsid w:val="7DF6165A"/>
    <w:rsid w:val="7E265F43"/>
    <w:rsid w:val="7E2A1CE8"/>
    <w:rsid w:val="7E306A7B"/>
    <w:rsid w:val="7E340FC0"/>
    <w:rsid w:val="7E432935"/>
    <w:rsid w:val="7E5B6472"/>
    <w:rsid w:val="7E5E08FE"/>
    <w:rsid w:val="7E6531F8"/>
    <w:rsid w:val="7E7314F9"/>
    <w:rsid w:val="7E8E1D56"/>
    <w:rsid w:val="7E95566A"/>
    <w:rsid w:val="7E975E1E"/>
    <w:rsid w:val="7EA273E3"/>
    <w:rsid w:val="7EA55196"/>
    <w:rsid w:val="7EA753B9"/>
    <w:rsid w:val="7EB57E6F"/>
    <w:rsid w:val="7EE030FE"/>
    <w:rsid w:val="7EE75302"/>
    <w:rsid w:val="7F097CA0"/>
    <w:rsid w:val="7F0B07CE"/>
    <w:rsid w:val="7F25041C"/>
    <w:rsid w:val="7F3134E3"/>
    <w:rsid w:val="7F3220D8"/>
    <w:rsid w:val="7F4502CF"/>
    <w:rsid w:val="7F6D3A9F"/>
    <w:rsid w:val="7F8D46BF"/>
    <w:rsid w:val="7F8F2FF2"/>
    <w:rsid w:val="7F94595E"/>
    <w:rsid w:val="7F981461"/>
    <w:rsid w:val="7FB25913"/>
    <w:rsid w:val="7FB4339B"/>
    <w:rsid w:val="7FBB3412"/>
    <w:rsid w:val="7FC05A45"/>
    <w:rsid w:val="7FCC7A59"/>
    <w:rsid w:val="7FE07D53"/>
    <w:rsid w:val="7FF60532"/>
    <w:rsid w:val="7FFD5BAA"/>
    <w:rsid w:val="7FFE657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nhideWhenUsed="0" w:uiPriority="1"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napToGrid w:val="0"/>
      <w:spacing w:before="120" w:after="120" w:line="360" w:lineRule="auto"/>
      <w:textAlignment w:val="baseline"/>
      <w:outlineLvl w:val="0"/>
    </w:pPr>
    <w:rPr>
      <w:rFonts w:hint="eastAsia" w:ascii="宋体" w:hAnsi="宋体" w:eastAsia="黑体"/>
      <w:b/>
      <w:kern w:val="44"/>
      <w:sz w:val="30"/>
      <w:szCs w:val="28"/>
    </w:rPr>
  </w:style>
  <w:style w:type="paragraph" w:styleId="5">
    <w:name w:val="heading 2"/>
    <w:basedOn w:val="1"/>
    <w:next w:val="1"/>
    <w:qFormat/>
    <w:uiPriority w:val="0"/>
    <w:pPr>
      <w:keepNext/>
      <w:keepLines/>
      <w:snapToGrid w:val="0"/>
      <w:spacing w:line="360" w:lineRule="auto"/>
      <w:textAlignment w:val="baseline"/>
      <w:outlineLvl w:val="1"/>
    </w:pPr>
    <w:rPr>
      <w:rFonts w:hint="eastAsia" w:ascii="楷体_GB2312" w:eastAsia="楷体_GB2312"/>
      <w:b/>
      <w:sz w:val="28"/>
      <w:szCs w:val="28"/>
    </w:rPr>
  </w:style>
  <w:style w:type="paragraph" w:styleId="6">
    <w:name w:val="heading 3"/>
    <w:basedOn w:val="1"/>
    <w:next w:val="1"/>
    <w:qFormat/>
    <w:uiPriority w:val="0"/>
    <w:pPr>
      <w:keepNext/>
      <w:keepLines/>
      <w:spacing w:before="260" w:after="260" w:line="416" w:lineRule="auto"/>
      <w:outlineLvl w:val="2"/>
    </w:pPr>
    <w:rPr>
      <w:b/>
      <w:sz w:val="32"/>
      <w:szCs w:val="32"/>
    </w:rPr>
  </w:style>
  <w:style w:type="paragraph" w:styleId="7">
    <w:name w:val="heading 9"/>
    <w:basedOn w:val="1"/>
    <w:next w:val="1"/>
    <w:qFormat/>
    <w:uiPriority w:val="1"/>
    <w:pPr>
      <w:spacing w:before="1"/>
      <w:ind w:left="821"/>
      <w:outlineLvl w:val="9"/>
    </w:pPr>
    <w:rPr>
      <w:rFonts w:ascii="宋体" w:hAnsi="宋体" w:eastAsia="宋体" w:cs="宋体"/>
      <w:b/>
      <w:bCs/>
      <w:sz w:val="24"/>
      <w:szCs w:val="24"/>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rPr>
      <w:rFonts w:ascii="宋体" w:hAnsi="宋体" w:eastAsia="宋体" w:cs="宋体"/>
      <w:sz w:val="24"/>
      <w:szCs w:val="24"/>
      <w:lang w:val="zh-CN" w:eastAsia="zh-CN" w:bidi="zh-CN"/>
    </w:rPr>
  </w:style>
  <w:style w:type="paragraph" w:styleId="3">
    <w:name w:val="List Bullet 5"/>
    <w:basedOn w:val="1"/>
    <w:qFormat/>
    <w:uiPriority w:val="0"/>
    <w:pPr>
      <w:numPr>
        <w:ilvl w:val="0"/>
        <w:numId w:val="1"/>
      </w:numPr>
    </w:pPr>
  </w:style>
  <w:style w:type="paragraph" w:styleId="8">
    <w:name w:val="annotation text"/>
    <w:basedOn w:val="1"/>
    <w:qFormat/>
    <w:uiPriority w:val="0"/>
    <w:pPr>
      <w:jc w:val="left"/>
    </w:pPr>
  </w:style>
  <w:style w:type="paragraph" w:styleId="9">
    <w:name w:val="Body Text Indent"/>
    <w:basedOn w:val="1"/>
    <w:qFormat/>
    <w:uiPriority w:val="0"/>
    <w:pPr>
      <w:adjustRightInd w:val="0"/>
      <w:spacing w:line="360" w:lineRule="auto"/>
      <w:ind w:firstLine="480" w:firstLineChars="200"/>
      <w:textAlignment w:val="baseline"/>
    </w:pPr>
    <w:rPr>
      <w:sz w:val="24"/>
    </w:rPr>
  </w:style>
  <w:style w:type="paragraph" w:styleId="10">
    <w:name w:val="Body Text Indent 2"/>
    <w:basedOn w:val="1"/>
    <w:qFormat/>
    <w:uiPriority w:val="0"/>
    <w:pPr>
      <w:spacing w:before="156" w:beforeLines="50" w:line="500" w:lineRule="exact"/>
      <w:ind w:firstLine="560" w:firstLineChars="200"/>
      <w:jc w:val="left"/>
    </w:pPr>
    <w:rPr>
      <w:sz w:val="28"/>
    </w:rPr>
  </w:style>
  <w:style w:type="paragraph" w:styleId="11">
    <w:name w:val="footer"/>
    <w:basedOn w:val="1"/>
    <w:qFormat/>
    <w:uiPriority w:val="99"/>
    <w:pPr>
      <w:tabs>
        <w:tab w:val="center" w:pos="4153"/>
        <w:tab w:val="right" w:pos="8306"/>
      </w:tabs>
      <w:adjustRightInd w:val="0"/>
      <w:snapToGrid w:val="0"/>
      <w:spacing w:line="360" w:lineRule="atLeast"/>
      <w:textAlignment w:val="baseline"/>
    </w:pPr>
    <w:rPr>
      <w:sz w:val="18"/>
      <w:szCs w:val="18"/>
    </w:rPr>
  </w:style>
  <w:style w:type="paragraph" w:styleId="12">
    <w:name w:val="header"/>
    <w:basedOn w:val="1"/>
    <w:next w:val="2"/>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unhideWhenUsed/>
    <w:qFormat/>
    <w:uiPriority w:val="99"/>
    <w:pPr>
      <w:widowControl/>
      <w:jc w:val="left"/>
    </w:pPr>
    <w:rPr>
      <w:rFonts w:ascii="宋体" w:hAnsi="宋体" w:eastAsia="宋体" w:cs="宋体"/>
      <w:kern w:val="0"/>
      <w:sz w:val="24"/>
      <w:szCs w:val="24"/>
    </w:rPr>
  </w:style>
  <w:style w:type="paragraph" w:styleId="14">
    <w:name w:val="Body Text First Indent"/>
    <w:basedOn w:val="2"/>
    <w:qFormat/>
    <w:uiPriority w:val="0"/>
    <w:pPr>
      <w:adjustRightInd/>
      <w:snapToGrid/>
      <w:spacing w:after="120" w:line="240" w:lineRule="auto"/>
      <w:ind w:firstLine="420" w:firstLineChars="100"/>
      <w:jc w:val="both"/>
      <w:textAlignment w:val="auto"/>
    </w:pPr>
    <w:rPr>
      <w:rFonts w:ascii="Times New Roman" w:eastAsia="宋体"/>
      <w:sz w:val="21"/>
    </w:rPr>
  </w:style>
  <w:style w:type="paragraph" w:styleId="15">
    <w:name w:val="Body Text First Indent 2"/>
    <w:basedOn w:val="9"/>
    <w:qFormat/>
    <w:uiPriority w:val="0"/>
    <w:pPr>
      <w:tabs>
        <w:tab w:val="left" w:pos="420"/>
        <w:tab w:val="left" w:pos="870"/>
        <w:tab w:val="left" w:pos="3150"/>
      </w:tabs>
      <w:autoSpaceDE w:val="0"/>
      <w:autoSpaceDN w:val="0"/>
      <w:spacing w:before="60" w:beforeLines="25" w:line="336" w:lineRule="auto"/>
      <w:ind w:firstLine="527" w:firstLineChars="0"/>
    </w:pPr>
    <w:rPr>
      <w:rFonts w:ascii="宋体"/>
      <w:szCs w:val="28"/>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qFormat/>
    <w:uiPriority w:val="0"/>
  </w:style>
  <w:style w:type="character" w:styleId="20">
    <w:name w:val="FollowedHyperlink"/>
    <w:basedOn w:val="18"/>
    <w:qFormat/>
    <w:uiPriority w:val="0"/>
    <w:rPr>
      <w:color w:val="464646"/>
      <w:sz w:val="18"/>
      <w:szCs w:val="18"/>
      <w:u w:val="none"/>
    </w:rPr>
  </w:style>
  <w:style w:type="character" w:styleId="21">
    <w:name w:val="Hyperlink"/>
    <w:basedOn w:val="18"/>
    <w:qFormat/>
    <w:uiPriority w:val="0"/>
    <w:rPr>
      <w:color w:val="464646"/>
      <w:sz w:val="18"/>
      <w:szCs w:val="18"/>
      <w:u w:val="none"/>
    </w:rPr>
  </w:style>
  <w:style w:type="paragraph" w:customStyle="1" w:styleId="22">
    <w:name w:val="xl27"/>
    <w:basedOn w:val="1"/>
    <w:next w:val="1"/>
    <w:qFormat/>
    <w:uiPriority w:val="99"/>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18030" w:hAnsi="???-18030" w:cs="???-18030"/>
      <w:kern w:val="0"/>
    </w:rPr>
  </w:style>
  <w:style w:type="paragraph" w:customStyle="1" w:styleId="23">
    <w:name w:val="表格"/>
    <w:next w:val="1"/>
    <w:qFormat/>
    <w:uiPriority w:val="0"/>
    <w:pPr>
      <w:adjustRightInd w:val="0"/>
      <w:snapToGrid w:val="0"/>
      <w:spacing w:line="320" w:lineRule="exact"/>
      <w:jc w:val="center"/>
    </w:pPr>
    <w:rPr>
      <w:rFonts w:ascii="宋体" w:hAnsi="宋体" w:eastAsia="楷体_GB2312" w:cs="Times New Roman"/>
      <w:sz w:val="21"/>
      <w:lang w:val="en-US" w:eastAsia="zh-CN" w:bidi="ar-SA"/>
    </w:rPr>
  </w:style>
  <w:style w:type="paragraph" w:customStyle="1" w:styleId="24">
    <w:name w:val="p0"/>
    <w:basedOn w:val="1"/>
    <w:qFormat/>
    <w:uiPriority w:val="0"/>
    <w:pPr>
      <w:widowControl/>
      <w:autoSpaceDE w:val="0"/>
      <w:autoSpaceDN w:val="0"/>
      <w:spacing w:line="540" w:lineRule="atLeast"/>
    </w:pPr>
    <w:rPr>
      <w:rFonts w:hint="eastAsia" w:ascii="華康中楷體" w:eastAsia="華康中楷體"/>
      <w:spacing w:val="20"/>
      <w:kern w:val="0"/>
      <w:sz w:val="28"/>
      <w:szCs w:val="28"/>
      <w:lang w:eastAsia="zh-TW"/>
    </w:rPr>
  </w:style>
  <w:style w:type="paragraph" w:styleId="25">
    <w:name w:val="List Paragraph"/>
    <w:basedOn w:val="1"/>
    <w:qFormat/>
    <w:uiPriority w:val="1"/>
    <w:pPr>
      <w:spacing w:before="1"/>
      <w:ind w:left="245" w:hanging="602"/>
    </w:pPr>
    <w:rPr>
      <w:rFonts w:ascii="宋体" w:hAnsi="宋体" w:eastAsia="宋体" w:cs="宋体"/>
      <w:lang w:val="zh-CN" w:eastAsia="zh-CN" w:bidi="zh-CN"/>
    </w:rPr>
  </w:style>
  <w:style w:type="paragraph" w:customStyle="1" w:styleId="26">
    <w:name w:val="表格内容自定"/>
    <w:basedOn w:val="1"/>
    <w:qFormat/>
    <w:uiPriority w:val="0"/>
    <w:pPr>
      <w:spacing w:line="280" w:lineRule="exact"/>
      <w:jc w:val="center"/>
    </w:pPr>
    <w:rPr>
      <w:kern w:val="0"/>
      <w:sz w:val="18"/>
      <w:szCs w:val="21"/>
    </w:rPr>
  </w:style>
  <w:style w:type="paragraph" w:customStyle="1" w:styleId="27">
    <w:name w:val="li_正文"/>
    <w:basedOn w:val="1"/>
    <w:qFormat/>
    <w:uiPriority w:val="0"/>
    <w:pPr>
      <w:tabs>
        <w:tab w:val="left" w:pos="2340"/>
        <w:tab w:val="left" w:pos="4320"/>
      </w:tabs>
      <w:ind w:firstLine="530" w:firstLineChars="200"/>
      <w:jc w:val="left"/>
    </w:pPr>
    <w:rPr>
      <w:sz w:val="28"/>
      <w:szCs w:val="28"/>
    </w:rPr>
  </w:style>
  <w:style w:type="paragraph" w:customStyle="1" w:styleId="28">
    <w:name w:val="Hu表头"/>
    <w:basedOn w:val="1"/>
    <w:qFormat/>
    <w:uiPriority w:val="0"/>
    <w:pPr>
      <w:adjustRightInd w:val="0"/>
      <w:snapToGrid w:val="0"/>
      <w:jc w:val="center"/>
      <w:textAlignment w:val="baseline"/>
    </w:pPr>
    <w:rPr>
      <w:rFonts w:ascii="宋体" w:hAnsi="宋体" w:cs="宋体"/>
      <w:b/>
      <w:sz w:val="24"/>
    </w:rPr>
  </w:style>
  <w:style w:type="paragraph" w:customStyle="1" w:styleId="29">
    <w:name w:val="Char"/>
    <w:basedOn w:val="1"/>
    <w:qFormat/>
    <w:uiPriority w:val="0"/>
    <w:pPr>
      <w:snapToGrid w:val="0"/>
    </w:pPr>
    <w:rPr>
      <w:snapToGrid/>
      <w:sz w:val="21"/>
    </w:rPr>
  </w:style>
  <w:style w:type="paragraph" w:customStyle="1" w:styleId="30">
    <w:name w:val="Table Paragraph"/>
    <w:basedOn w:val="1"/>
    <w:qFormat/>
    <w:uiPriority w:val="1"/>
    <w:rPr>
      <w:rFonts w:ascii="Times New Roman" w:hAnsi="Times New Roman" w:eastAsia="Times New Roman" w:cs="Times New Roman"/>
      <w:lang w:val="zh-CN" w:eastAsia="zh-CN" w:bidi="zh-CN"/>
    </w:rPr>
  </w:style>
  <w:style w:type="paragraph" w:customStyle="1" w:styleId="31">
    <w:name w:val="表格文字2"/>
    <w:basedOn w:val="1"/>
    <w:qFormat/>
    <w:uiPriority w:val="0"/>
    <w:pPr>
      <w:tabs>
        <w:tab w:val="left" w:pos="277"/>
        <w:tab w:val="left" w:pos="600"/>
        <w:tab w:val="left" w:pos="780"/>
        <w:tab w:val="left" w:pos="2517"/>
      </w:tabs>
      <w:adjustRightInd w:val="0"/>
      <w:spacing w:before="60"/>
      <w:jc w:val="center"/>
      <w:textAlignment w:val="baseline"/>
    </w:pPr>
    <w:rPr>
      <w:kern w:val="0"/>
      <w:szCs w:val="21"/>
    </w:rPr>
  </w:style>
  <w:style w:type="character" w:customStyle="1" w:styleId="32">
    <w:name w:val="bsharetext"/>
    <w:basedOn w:val="18"/>
    <w:qFormat/>
    <w:uiPriority w:val="0"/>
  </w:style>
  <w:style w:type="paragraph" w:customStyle="1" w:styleId="33">
    <w:name w:val="普通(网站)1"/>
    <w:basedOn w:val="1"/>
    <w:link w:val="37"/>
    <w:qFormat/>
    <w:uiPriority w:val="0"/>
    <w:pPr>
      <w:adjustRightInd/>
      <w:snapToGrid/>
      <w:spacing w:beforeAutospacing="1" w:afterAutospacing="1"/>
    </w:pPr>
    <w:rPr>
      <w:rFonts w:ascii="宋体" w:hAnsi="宋体" w:eastAsia="宋体" w:cs="宋体"/>
      <w:sz w:val="24"/>
      <w:szCs w:val="24"/>
    </w:rPr>
  </w:style>
  <w:style w:type="paragraph" w:customStyle="1" w:styleId="34">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5">
    <w:name w:val="正文2"/>
    <w:qFormat/>
    <w:uiPriority w:val="0"/>
    <w:pPr>
      <w:widowControl w:val="0"/>
      <w:spacing w:line="360" w:lineRule="auto"/>
      <w:ind w:firstLine="200" w:firstLineChars="200"/>
      <w:jc w:val="both"/>
    </w:pPr>
    <w:rPr>
      <w:rFonts w:ascii="Times New Roman" w:hAnsi="Times New Roman" w:eastAsia="宋体" w:cs="Times New Roman"/>
      <w:kern w:val="0"/>
      <w:sz w:val="24"/>
      <w:szCs w:val="24"/>
      <w:lang w:val="en-US" w:eastAsia="zh-CN" w:bidi="ar-SA"/>
    </w:rPr>
  </w:style>
  <w:style w:type="paragraph" w:customStyle="1" w:styleId="36">
    <w:name w:val="WPS Plain"/>
    <w:qFormat/>
    <w:uiPriority w:val="0"/>
    <w:rPr>
      <w:rFonts w:ascii="Times New Roman" w:hAnsi="Times New Roman" w:eastAsia="宋体" w:cs="Times New Roman"/>
      <w:lang w:val="en-US" w:eastAsia="zh-CN" w:bidi="ar-SA"/>
    </w:rPr>
  </w:style>
  <w:style w:type="character" w:customStyle="1" w:styleId="37">
    <w:name w:val="普通(网站)1 Char"/>
    <w:link w:val="33"/>
    <w:uiPriority w:val="0"/>
    <w:rPr>
      <w:rFonts w:ascii="宋体" w:hAnsi="宋体" w:eastAsia="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29.pn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jpe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header" Target="header2.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jpeg"/><Relationship Id="rId36" Type="http://schemas.openxmlformats.org/officeDocument/2006/relationships/image" Target="media/image19.jpeg"/><Relationship Id="rId35" Type="http://schemas.openxmlformats.org/officeDocument/2006/relationships/image" Target="media/image18.jpeg"/><Relationship Id="rId34" Type="http://schemas.openxmlformats.org/officeDocument/2006/relationships/image" Target="media/image17.jpeg"/><Relationship Id="rId33" Type="http://schemas.openxmlformats.org/officeDocument/2006/relationships/image" Target="media/image16.jpeg"/><Relationship Id="rId32" Type="http://schemas.openxmlformats.org/officeDocument/2006/relationships/image" Target="media/image15.jpeg"/><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header" Target="header1.xml"/><Relationship Id="rId29" Type="http://schemas.openxmlformats.org/officeDocument/2006/relationships/image" Target="media/image12.jpeg"/><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69</Pages>
  <Words>18841</Words>
  <Characters>21946</Characters>
  <Lines>0</Lines>
  <Paragraphs>0</Paragraphs>
  <TotalTime>2</TotalTime>
  <ScaleCrop>false</ScaleCrop>
  <LinksUpToDate>false</LinksUpToDate>
  <CharactersWithSpaces>22573</CharactersWithSpaces>
  <Application>WPS Office_11.1.0.10503_F1E327BC-269C-435d-A152-05C5408002CA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为何你我他</cp:lastModifiedBy>
  <cp:lastPrinted>2020-04-25T08:59:00Z</cp:lastPrinted>
  <dcterms:modified xsi:type="dcterms:W3CDTF">2021-08-31T07:12:14Z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B8955F10D89947BB8FA477EA552AF58B</vt:lpwstr>
  </property>
</Properties>
</file>